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153E" w:rsidRPr="0087224E" w:rsidRDefault="00D2153E" w:rsidP="00D2153E">
      <w:pPr>
        <w:contextualSpacing/>
        <w:jc w:val="center"/>
        <w:outlineLvl w:val="0"/>
        <w:rPr>
          <w:rFonts w:ascii="Georgia" w:hAnsi="Georgia" w:cs="Arial"/>
          <w:i/>
          <w:iCs/>
          <w:color w:val="111111"/>
          <w:kern w:val="36"/>
          <w:sz w:val="34"/>
          <w:szCs w:val="34"/>
          <w:lang w:eastAsia="ru-RU"/>
        </w:rPr>
      </w:pPr>
      <w:r w:rsidRPr="0087224E">
        <w:rPr>
          <w:rFonts w:ascii="Georgia" w:hAnsi="Georgia" w:cs="Arial"/>
          <w:i/>
          <w:iCs/>
          <w:color w:val="111111"/>
          <w:kern w:val="36"/>
          <w:sz w:val="34"/>
          <w:szCs w:val="34"/>
          <w:lang w:eastAsia="ru-RU"/>
        </w:rPr>
        <w:t>Страховые взносы индивидуальных предпринимателей</w:t>
      </w:r>
      <w:r w:rsidRPr="0087224E">
        <w:rPr>
          <w:rFonts w:ascii="Georgia" w:hAnsi="Georgia" w:cs="Arial"/>
          <w:i/>
          <w:iCs/>
          <w:color w:val="111111"/>
          <w:kern w:val="36"/>
          <w:sz w:val="34"/>
          <w:szCs w:val="34"/>
          <w:lang w:eastAsia="ru-RU"/>
        </w:rPr>
        <w:br/>
        <w:t>в ПФР и ФФОМС в 201</w:t>
      </w:r>
      <w:r>
        <w:rPr>
          <w:rFonts w:ascii="Georgia" w:hAnsi="Georgia" w:cs="Arial"/>
          <w:i/>
          <w:iCs/>
          <w:color w:val="111111"/>
          <w:kern w:val="36"/>
          <w:sz w:val="34"/>
          <w:szCs w:val="34"/>
          <w:lang w:eastAsia="ru-RU"/>
        </w:rPr>
        <w:t>5</w:t>
      </w:r>
      <w:r w:rsidRPr="0087224E">
        <w:rPr>
          <w:rFonts w:ascii="Georgia" w:hAnsi="Georgia" w:cs="Arial"/>
          <w:i/>
          <w:iCs/>
          <w:color w:val="111111"/>
          <w:kern w:val="36"/>
          <w:sz w:val="34"/>
          <w:szCs w:val="34"/>
          <w:lang w:eastAsia="ru-RU"/>
        </w:rPr>
        <w:t xml:space="preserve"> году</w:t>
      </w:r>
    </w:p>
    <w:tbl>
      <w:tblPr>
        <w:tblW w:w="5000" w:type="pct"/>
        <w:tblCellSpacing w:w="0" w:type="dxa"/>
        <w:tblCellMar>
          <w:left w:w="0" w:type="dxa"/>
          <w:right w:w="0" w:type="dxa"/>
        </w:tblCellMar>
        <w:tblLook w:val="04A0"/>
      </w:tblPr>
      <w:tblGrid>
        <w:gridCol w:w="10119"/>
      </w:tblGrid>
      <w:tr w:rsidR="00D2153E" w:rsidRPr="009F27BF" w:rsidTr="00E70A4B">
        <w:trPr>
          <w:tblCellSpacing w:w="0" w:type="dxa"/>
        </w:trPr>
        <w:tc>
          <w:tcPr>
            <w:tcW w:w="0" w:type="auto"/>
            <w:tcMar>
              <w:top w:w="0" w:type="dxa"/>
              <w:left w:w="180" w:type="dxa"/>
              <w:bottom w:w="225" w:type="dxa"/>
              <w:right w:w="300" w:type="dxa"/>
            </w:tcMar>
            <w:hideMark/>
          </w:tcPr>
          <w:p w:rsidR="00D2153E" w:rsidRPr="009F27BF" w:rsidRDefault="00D2153E" w:rsidP="00E70A4B">
            <w:pPr>
              <w:spacing w:before="100" w:beforeAutospacing="1" w:after="100" w:afterAutospacing="1"/>
              <w:contextualSpacing/>
              <w:jc w:val="both"/>
              <w:rPr>
                <w:color w:val="111111"/>
                <w:sz w:val="26"/>
                <w:szCs w:val="26"/>
                <w:lang w:eastAsia="ru-RU"/>
              </w:rPr>
            </w:pPr>
          </w:p>
          <w:p w:rsidR="00D2153E" w:rsidRPr="009F27BF" w:rsidRDefault="00D2153E" w:rsidP="00E70A4B">
            <w:pPr>
              <w:spacing w:before="100" w:beforeAutospacing="1" w:after="100" w:afterAutospacing="1"/>
              <w:contextualSpacing/>
              <w:jc w:val="both"/>
              <w:rPr>
                <w:color w:val="111111"/>
                <w:sz w:val="26"/>
                <w:szCs w:val="26"/>
                <w:lang w:eastAsia="ru-RU"/>
              </w:rPr>
            </w:pPr>
            <w:r w:rsidRPr="009F27BF">
              <w:rPr>
                <w:color w:val="111111"/>
                <w:sz w:val="26"/>
                <w:szCs w:val="26"/>
                <w:lang w:eastAsia="ru-RU"/>
              </w:rPr>
              <w:t>Индивидуальные предприниматели уплачивают соответствующие страховые взносы в фиксированных размерах в следующем порядке:</w:t>
            </w:r>
          </w:p>
          <w:p w:rsidR="00D2153E" w:rsidRPr="009F27BF" w:rsidRDefault="00D2153E" w:rsidP="00E70A4B">
            <w:pPr>
              <w:spacing w:before="100" w:beforeAutospacing="1" w:after="100" w:afterAutospacing="1"/>
              <w:contextualSpacing/>
              <w:jc w:val="both"/>
              <w:rPr>
                <w:color w:val="111111"/>
                <w:sz w:val="26"/>
                <w:szCs w:val="26"/>
                <w:lang w:eastAsia="ru-RU"/>
              </w:rPr>
            </w:pPr>
            <w:r w:rsidRPr="009F27BF">
              <w:rPr>
                <w:color w:val="111111"/>
                <w:sz w:val="26"/>
                <w:szCs w:val="26"/>
                <w:lang w:eastAsia="ru-RU"/>
              </w:rPr>
              <w:t>в ПФР</w:t>
            </w:r>
          </w:p>
          <w:p w:rsidR="00D2153E" w:rsidRPr="009F27BF" w:rsidRDefault="00D2153E" w:rsidP="00D2153E">
            <w:pPr>
              <w:numPr>
                <w:ilvl w:val="0"/>
                <w:numId w:val="9"/>
              </w:numPr>
              <w:suppressAutoHyphens w:val="0"/>
              <w:spacing w:before="100" w:beforeAutospacing="1" w:after="100" w:afterAutospacing="1"/>
              <w:ind w:left="375"/>
              <w:contextualSpacing/>
              <w:jc w:val="both"/>
              <w:rPr>
                <w:color w:val="111111"/>
                <w:sz w:val="26"/>
                <w:szCs w:val="26"/>
                <w:lang w:eastAsia="ru-RU"/>
              </w:rPr>
            </w:pPr>
            <w:r w:rsidRPr="009F27BF">
              <w:rPr>
                <w:color w:val="111111"/>
                <w:sz w:val="26"/>
                <w:szCs w:val="26"/>
                <w:lang w:eastAsia="ru-RU"/>
              </w:rPr>
              <w:t>в случае если величина дохода за расчетный период не превышает 300 000 рублей – в фиксированном размере, определяемом по формуле:</w:t>
            </w:r>
          </w:p>
          <w:p w:rsidR="00D2153E" w:rsidRPr="009F27BF" w:rsidRDefault="00D2153E" w:rsidP="00E70A4B">
            <w:pPr>
              <w:spacing w:before="100" w:beforeAutospacing="1" w:after="100" w:afterAutospacing="1"/>
              <w:ind w:left="567"/>
              <w:contextualSpacing/>
              <w:jc w:val="both"/>
              <w:rPr>
                <w:color w:val="111111"/>
                <w:sz w:val="26"/>
                <w:szCs w:val="26"/>
                <w:lang w:eastAsia="ru-RU"/>
              </w:rPr>
            </w:pPr>
            <w:r w:rsidRPr="009F27BF">
              <w:rPr>
                <w:color w:val="111111"/>
                <w:sz w:val="26"/>
                <w:szCs w:val="26"/>
                <w:lang w:eastAsia="ru-RU"/>
              </w:rPr>
              <w:t xml:space="preserve">МРОТ* на начало года х </w:t>
            </w:r>
            <w:r>
              <w:rPr>
                <w:color w:val="111111"/>
                <w:sz w:val="26"/>
                <w:szCs w:val="26"/>
                <w:lang w:eastAsia="ru-RU"/>
              </w:rPr>
              <w:t>т</w:t>
            </w:r>
            <w:r w:rsidRPr="009F27BF">
              <w:rPr>
                <w:color w:val="111111"/>
                <w:sz w:val="26"/>
                <w:szCs w:val="26"/>
                <w:lang w:eastAsia="ru-RU"/>
              </w:rPr>
              <w:t>ариф страховых взносов (26%) х 12</w:t>
            </w:r>
          </w:p>
          <w:p w:rsidR="00D2153E" w:rsidRPr="009F27BF" w:rsidRDefault="00D2153E" w:rsidP="00E70A4B">
            <w:pPr>
              <w:spacing w:before="100" w:beforeAutospacing="1"/>
              <w:ind w:left="567"/>
              <w:contextualSpacing/>
              <w:jc w:val="both"/>
              <w:rPr>
                <w:color w:val="000000"/>
                <w:sz w:val="26"/>
                <w:szCs w:val="26"/>
              </w:rPr>
            </w:pPr>
            <w:r w:rsidRPr="009F27BF">
              <w:rPr>
                <w:color w:val="000000"/>
                <w:sz w:val="26"/>
                <w:szCs w:val="26"/>
              </w:rPr>
              <w:t xml:space="preserve">5965 х 26% х 12= </w:t>
            </w:r>
            <w:r w:rsidRPr="009F27BF">
              <w:rPr>
                <w:color w:val="111111"/>
                <w:sz w:val="26"/>
                <w:szCs w:val="26"/>
              </w:rPr>
              <w:t>18 610,80 рублей</w:t>
            </w:r>
          </w:p>
          <w:p w:rsidR="00D2153E" w:rsidRPr="009F27BF" w:rsidRDefault="00D2153E" w:rsidP="00D2153E">
            <w:pPr>
              <w:numPr>
                <w:ilvl w:val="0"/>
                <w:numId w:val="9"/>
              </w:numPr>
              <w:suppressAutoHyphens w:val="0"/>
              <w:spacing w:before="100" w:beforeAutospacing="1" w:after="100" w:afterAutospacing="1"/>
              <w:ind w:left="375"/>
              <w:contextualSpacing/>
              <w:jc w:val="both"/>
              <w:rPr>
                <w:color w:val="111111"/>
                <w:sz w:val="26"/>
                <w:szCs w:val="26"/>
                <w:lang w:eastAsia="ru-RU"/>
              </w:rPr>
            </w:pPr>
            <w:r w:rsidRPr="009F27BF">
              <w:rPr>
                <w:color w:val="111111"/>
                <w:sz w:val="26"/>
                <w:szCs w:val="26"/>
                <w:lang w:eastAsia="ru-RU"/>
              </w:rPr>
              <w:t>в случае если величина дохода за расчетный период превышает 300 000 рублей – в фиксированном размере, определяемом по формуле:</w:t>
            </w:r>
          </w:p>
          <w:p w:rsidR="00D2153E" w:rsidRPr="009F27BF" w:rsidRDefault="00D2153E" w:rsidP="00E70A4B">
            <w:pPr>
              <w:spacing w:before="100" w:beforeAutospacing="1" w:after="100" w:afterAutospacing="1"/>
              <w:ind w:left="375"/>
              <w:contextualSpacing/>
              <w:jc w:val="both"/>
              <w:rPr>
                <w:color w:val="111111"/>
                <w:sz w:val="26"/>
                <w:szCs w:val="26"/>
                <w:lang w:eastAsia="ru-RU"/>
              </w:rPr>
            </w:pPr>
            <w:r>
              <w:rPr>
                <w:color w:val="111111"/>
                <w:sz w:val="26"/>
                <w:szCs w:val="26"/>
                <w:lang w:eastAsia="ru-RU"/>
              </w:rPr>
              <w:t>МРОТ на начало года х т</w:t>
            </w:r>
            <w:r w:rsidRPr="009F27BF">
              <w:rPr>
                <w:color w:val="111111"/>
                <w:sz w:val="26"/>
                <w:szCs w:val="26"/>
                <w:lang w:eastAsia="ru-RU"/>
              </w:rPr>
              <w:t>ариф страховых взносов (26%) х 12 плюс 1% от суммы дохода свыше 300 000 рублей за расчетный период.</w:t>
            </w:r>
          </w:p>
          <w:p w:rsidR="00D2153E" w:rsidRPr="009F27BF" w:rsidRDefault="00D2153E" w:rsidP="00E70A4B">
            <w:pPr>
              <w:spacing w:before="100" w:beforeAutospacing="1" w:after="100" w:afterAutospacing="1"/>
              <w:contextualSpacing/>
              <w:jc w:val="both"/>
              <w:rPr>
                <w:color w:val="111111"/>
                <w:sz w:val="26"/>
                <w:szCs w:val="26"/>
                <w:lang w:eastAsia="ru-RU"/>
              </w:rPr>
            </w:pPr>
            <w:r w:rsidRPr="009F27BF">
              <w:rPr>
                <w:color w:val="111111"/>
                <w:sz w:val="26"/>
                <w:szCs w:val="26"/>
                <w:lang w:eastAsia="ru-RU"/>
              </w:rPr>
              <w:t>в ФФОМС</w:t>
            </w:r>
          </w:p>
          <w:p w:rsidR="00D2153E" w:rsidRPr="009F27BF" w:rsidRDefault="00D2153E" w:rsidP="00E70A4B">
            <w:pPr>
              <w:spacing w:before="100" w:beforeAutospacing="1" w:after="100" w:afterAutospacing="1"/>
              <w:ind w:left="567"/>
              <w:contextualSpacing/>
              <w:jc w:val="both"/>
              <w:rPr>
                <w:color w:val="111111"/>
                <w:sz w:val="26"/>
                <w:szCs w:val="26"/>
                <w:lang w:eastAsia="ru-RU"/>
              </w:rPr>
            </w:pPr>
            <w:r>
              <w:rPr>
                <w:color w:val="111111"/>
                <w:sz w:val="26"/>
                <w:szCs w:val="26"/>
                <w:lang w:eastAsia="ru-RU"/>
              </w:rPr>
              <w:t>МРОТ на начало года х т</w:t>
            </w:r>
            <w:r w:rsidRPr="009F27BF">
              <w:rPr>
                <w:color w:val="111111"/>
                <w:sz w:val="26"/>
                <w:szCs w:val="26"/>
                <w:lang w:eastAsia="ru-RU"/>
              </w:rPr>
              <w:t>ариф страховых взносов (5,1%) х 12</w:t>
            </w:r>
          </w:p>
          <w:p w:rsidR="00D2153E" w:rsidRPr="009F27BF" w:rsidRDefault="00D2153E" w:rsidP="00E70A4B">
            <w:pPr>
              <w:spacing w:before="100" w:beforeAutospacing="1" w:after="100" w:afterAutospacing="1"/>
              <w:ind w:left="567"/>
              <w:contextualSpacing/>
              <w:jc w:val="both"/>
              <w:rPr>
                <w:color w:val="111111"/>
                <w:sz w:val="26"/>
                <w:szCs w:val="26"/>
                <w:lang w:eastAsia="ru-RU"/>
              </w:rPr>
            </w:pPr>
            <w:r w:rsidRPr="009F27BF">
              <w:rPr>
                <w:color w:val="111111"/>
                <w:sz w:val="26"/>
                <w:szCs w:val="26"/>
              </w:rPr>
              <w:t>5965 х 5,1% х 12 =3 650,58 рублей.</w:t>
            </w:r>
          </w:p>
        </w:tc>
      </w:tr>
      <w:tr w:rsidR="00D2153E" w:rsidRPr="009F27BF" w:rsidTr="00E70A4B">
        <w:trPr>
          <w:tblCellSpacing w:w="0" w:type="dxa"/>
        </w:trPr>
        <w:tc>
          <w:tcPr>
            <w:tcW w:w="10946" w:type="dxa"/>
            <w:tcMar>
              <w:top w:w="0" w:type="dxa"/>
              <w:left w:w="180" w:type="dxa"/>
              <w:bottom w:w="225" w:type="dxa"/>
              <w:right w:w="300" w:type="dxa"/>
            </w:tcMar>
            <w:hideMark/>
          </w:tcPr>
          <w:p w:rsidR="00D2153E" w:rsidRPr="009F27BF" w:rsidRDefault="00D2153E" w:rsidP="00E70A4B">
            <w:pPr>
              <w:ind w:left="15" w:firstLine="694"/>
              <w:jc w:val="both"/>
              <w:rPr>
                <w:sz w:val="26"/>
                <w:szCs w:val="26"/>
              </w:rPr>
            </w:pPr>
            <w:r w:rsidRPr="009F27BF">
              <w:rPr>
                <w:sz w:val="26"/>
                <w:szCs w:val="26"/>
              </w:rPr>
              <w:t>Страховые взносы можно уплатить как всю сумму полностью единовременно, так и частями.</w:t>
            </w:r>
          </w:p>
          <w:p w:rsidR="00D2153E" w:rsidRPr="009F27BF" w:rsidRDefault="00D2153E" w:rsidP="00E70A4B">
            <w:pPr>
              <w:ind w:firstLine="709"/>
              <w:jc w:val="both"/>
              <w:rPr>
                <w:sz w:val="26"/>
                <w:szCs w:val="26"/>
              </w:rPr>
            </w:pPr>
            <w:r w:rsidRPr="009F27BF">
              <w:rPr>
                <w:sz w:val="26"/>
                <w:szCs w:val="26"/>
              </w:rPr>
              <w:t>В случае если плательщики уплачивают страховые взносы ежемесячно:</w:t>
            </w:r>
          </w:p>
          <w:p w:rsidR="00D2153E" w:rsidRPr="009F27BF" w:rsidRDefault="00D2153E" w:rsidP="00E70A4B">
            <w:pPr>
              <w:ind w:firstLine="709"/>
              <w:jc w:val="both"/>
              <w:rPr>
                <w:sz w:val="26"/>
                <w:szCs w:val="26"/>
              </w:rPr>
            </w:pPr>
            <w:r w:rsidRPr="009F27BF">
              <w:rPr>
                <w:sz w:val="26"/>
                <w:szCs w:val="26"/>
              </w:rPr>
              <w:t>в ПФР - 1 550,90 рублей;</w:t>
            </w:r>
          </w:p>
          <w:p w:rsidR="00D2153E" w:rsidRPr="009F27BF" w:rsidRDefault="00D2153E" w:rsidP="00E70A4B">
            <w:pPr>
              <w:ind w:firstLine="709"/>
              <w:jc w:val="both"/>
              <w:rPr>
                <w:color w:val="111111"/>
                <w:sz w:val="26"/>
                <w:szCs w:val="26"/>
                <w:lang w:eastAsia="ru-RU"/>
              </w:rPr>
            </w:pPr>
            <w:r w:rsidRPr="009F27BF">
              <w:rPr>
                <w:sz w:val="26"/>
                <w:szCs w:val="26"/>
              </w:rPr>
              <w:t xml:space="preserve">в ФФОМС – 305 рублей (в течение 11 месяцев) и 295,58 рублей (в декабре 2015 года). </w:t>
            </w:r>
          </w:p>
        </w:tc>
      </w:tr>
    </w:tbl>
    <w:p w:rsidR="00D2153E" w:rsidRPr="009F27BF" w:rsidRDefault="00D2153E" w:rsidP="00D2153E">
      <w:pPr>
        <w:jc w:val="center"/>
        <w:outlineLvl w:val="0"/>
        <w:rPr>
          <w:b/>
          <w:i/>
          <w:iCs/>
          <w:color w:val="111111"/>
          <w:kern w:val="36"/>
          <w:sz w:val="26"/>
          <w:szCs w:val="26"/>
          <w:lang w:eastAsia="ru-RU"/>
        </w:rPr>
      </w:pPr>
      <w:r w:rsidRPr="009F27BF">
        <w:rPr>
          <w:b/>
          <w:i/>
          <w:iCs/>
          <w:color w:val="111111"/>
          <w:kern w:val="36"/>
          <w:sz w:val="26"/>
          <w:szCs w:val="26"/>
          <w:lang w:eastAsia="ru-RU"/>
        </w:rPr>
        <w:t>Расчет взносов при неполном расчетном периоде</w:t>
      </w:r>
    </w:p>
    <w:tbl>
      <w:tblPr>
        <w:tblW w:w="5000" w:type="pct"/>
        <w:tblCellSpacing w:w="0" w:type="dxa"/>
        <w:tblCellMar>
          <w:left w:w="0" w:type="dxa"/>
          <w:right w:w="0" w:type="dxa"/>
        </w:tblCellMar>
        <w:tblLook w:val="04A0"/>
      </w:tblPr>
      <w:tblGrid>
        <w:gridCol w:w="10119"/>
      </w:tblGrid>
      <w:tr w:rsidR="00D2153E" w:rsidRPr="009F27BF" w:rsidTr="00E70A4B">
        <w:trPr>
          <w:tblCellSpacing w:w="0" w:type="dxa"/>
        </w:trPr>
        <w:tc>
          <w:tcPr>
            <w:tcW w:w="0" w:type="auto"/>
            <w:tcMar>
              <w:top w:w="0" w:type="dxa"/>
              <w:left w:w="180" w:type="dxa"/>
              <w:bottom w:w="225" w:type="dxa"/>
              <w:right w:w="300" w:type="dxa"/>
            </w:tcMar>
            <w:hideMark/>
          </w:tcPr>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t>Если предприниматель работал неполный расчетный период, размер страховых взносов рассчитывается:</w:t>
            </w:r>
          </w:p>
          <w:p w:rsidR="00D2153E" w:rsidRPr="009F27BF" w:rsidRDefault="00D2153E" w:rsidP="00D2153E">
            <w:pPr>
              <w:numPr>
                <w:ilvl w:val="0"/>
                <w:numId w:val="10"/>
              </w:numPr>
              <w:suppressAutoHyphens w:val="0"/>
              <w:spacing w:before="100" w:beforeAutospacing="1" w:after="100" w:afterAutospacing="1"/>
              <w:ind w:left="375"/>
              <w:jc w:val="both"/>
              <w:rPr>
                <w:color w:val="111111"/>
                <w:sz w:val="26"/>
                <w:szCs w:val="26"/>
                <w:lang w:eastAsia="ru-RU"/>
              </w:rPr>
            </w:pPr>
            <w:r w:rsidRPr="009F27BF">
              <w:rPr>
                <w:color w:val="111111"/>
                <w:sz w:val="26"/>
                <w:szCs w:val="26"/>
                <w:lang w:eastAsia="ru-RU"/>
              </w:rPr>
              <w:t>как сумма взносов за полностью отработанные месяцы (МРОТ х ставка ПФР (или ФФОМС) х кол-во месяцев);</w:t>
            </w:r>
          </w:p>
          <w:p w:rsidR="00D2153E" w:rsidRPr="009F27BF" w:rsidRDefault="00D2153E" w:rsidP="00D2153E">
            <w:pPr>
              <w:numPr>
                <w:ilvl w:val="0"/>
                <w:numId w:val="10"/>
              </w:numPr>
              <w:suppressAutoHyphens w:val="0"/>
              <w:spacing w:before="100" w:beforeAutospacing="1" w:after="100" w:afterAutospacing="1"/>
              <w:ind w:left="375"/>
              <w:jc w:val="both"/>
              <w:rPr>
                <w:color w:val="111111"/>
                <w:sz w:val="26"/>
                <w:szCs w:val="26"/>
                <w:lang w:eastAsia="ru-RU"/>
              </w:rPr>
            </w:pPr>
            <w:r w:rsidRPr="009F27BF">
              <w:rPr>
                <w:color w:val="111111"/>
                <w:sz w:val="26"/>
                <w:szCs w:val="26"/>
                <w:lang w:eastAsia="ru-RU"/>
              </w:rPr>
              <w:t>как сумма взносов за не полностью отработанный месяц (МРОТ: кол-во календарных дней в месяце х кол-во дней с даты регистрации (включительно) до конца месяца х ставка ПФР (или ФФОМС).</w:t>
            </w:r>
          </w:p>
          <w:p w:rsidR="00D2153E" w:rsidRPr="009F27BF" w:rsidRDefault="00D2153E" w:rsidP="00E70A4B">
            <w:pPr>
              <w:autoSpaceDE w:val="0"/>
              <w:autoSpaceDN w:val="0"/>
              <w:adjustRightInd w:val="0"/>
              <w:jc w:val="both"/>
              <w:outlineLvl w:val="0"/>
              <w:rPr>
                <w:i/>
                <w:sz w:val="26"/>
                <w:szCs w:val="26"/>
                <w:lang w:eastAsia="ru-RU"/>
              </w:rPr>
            </w:pPr>
            <w:r w:rsidRPr="009F27BF">
              <w:rPr>
                <w:i/>
                <w:color w:val="111111"/>
                <w:sz w:val="26"/>
                <w:szCs w:val="26"/>
                <w:lang w:eastAsia="ru-RU"/>
              </w:rPr>
              <w:t>*</w:t>
            </w:r>
            <w:r w:rsidRPr="009F27BF">
              <w:rPr>
                <w:i/>
                <w:sz w:val="26"/>
                <w:szCs w:val="26"/>
                <w:lang w:eastAsia="ru-RU"/>
              </w:rPr>
              <w:t xml:space="preserve"> Федеральным законом от 01.12.2014 № 408-ФЗ "О внесении изменения в статью 1 Федерального закона "О минимальном размере оплаты труда" с 1 января 2015 года установлен минимальный размер оплаты труда в сумме 5 965 рубля в месяц.</w:t>
            </w:r>
          </w:p>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t>Например, если предприниматель был зарегистрирован 12 февраля 2015 года, то сумма страховых взносов за расчетный период составит:</w:t>
            </w:r>
          </w:p>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t xml:space="preserve">в ПФР – 16450,62 руб. (5965 х 26% х 10 мес. + (5965: 28 х 17) х 26%); </w:t>
            </w:r>
          </w:p>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lastRenderedPageBreak/>
              <w:t>в ФФОМС – 3226,85 руб. (5965 х 5,1% х 10 мес. + (5965: 28 х 17) х 5,1%).</w:t>
            </w:r>
          </w:p>
          <w:p w:rsidR="00D2153E" w:rsidRPr="009F27BF" w:rsidRDefault="00D2153E" w:rsidP="00E70A4B">
            <w:pPr>
              <w:spacing w:before="100" w:beforeAutospacing="1" w:after="100" w:afterAutospacing="1"/>
              <w:jc w:val="both"/>
              <w:rPr>
                <w:color w:val="111111"/>
                <w:sz w:val="26"/>
                <w:szCs w:val="26"/>
                <w:lang w:eastAsia="ru-RU"/>
              </w:rPr>
            </w:pPr>
            <w:r w:rsidRPr="009F27BF">
              <w:rPr>
                <w:b/>
                <w:bCs/>
                <w:color w:val="111111"/>
                <w:sz w:val="26"/>
                <w:szCs w:val="26"/>
                <w:lang w:eastAsia="ru-RU"/>
              </w:rPr>
              <w:t>Срок уплаты фиксированных взносов при доходах до 300 000 рублей</w:t>
            </w:r>
            <w:r w:rsidRPr="009F27BF">
              <w:rPr>
                <w:color w:val="111111"/>
                <w:sz w:val="26"/>
                <w:szCs w:val="26"/>
                <w:lang w:eastAsia="ru-RU"/>
              </w:rPr>
              <w:t> – до 31 декабря года, за который уплачиваются взносы.</w:t>
            </w:r>
          </w:p>
        </w:tc>
      </w:tr>
    </w:tbl>
    <w:p w:rsidR="00D2153E" w:rsidRPr="009F27BF" w:rsidRDefault="00D2153E" w:rsidP="00D2153E">
      <w:pPr>
        <w:jc w:val="center"/>
        <w:outlineLvl w:val="0"/>
        <w:rPr>
          <w:b/>
          <w:i/>
          <w:iCs/>
          <w:color w:val="111111"/>
          <w:kern w:val="36"/>
          <w:sz w:val="26"/>
          <w:szCs w:val="26"/>
          <w:lang w:eastAsia="ru-RU"/>
        </w:rPr>
      </w:pPr>
      <w:r w:rsidRPr="009F27BF">
        <w:rPr>
          <w:b/>
          <w:i/>
          <w:iCs/>
          <w:color w:val="111111"/>
          <w:kern w:val="36"/>
          <w:sz w:val="26"/>
          <w:szCs w:val="26"/>
          <w:lang w:eastAsia="ru-RU"/>
        </w:rPr>
        <w:lastRenderedPageBreak/>
        <w:t>Расчет взносов при доходах свыше 300 000 рублей</w:t>
      </w:r>
    </w:p>
    <w:tbl>
      <w:tblPr>
        <w:tblW w:w="5000" w:type="pct"/>
        <w:tblCellSpacing w:w="0" w:type="dxa"/>
        <w:tblCellMar>
          <w:left w:w="0" w:type="dxa"/>
          <w:right w:w="0" w:type="dxa"/>
        </w:tblCellMar>
        <w:tblLook w:val="04A0"/>
      </w:tblPr>
      <w:tblGrid>
        <w:gridCol w:w="10119"/>
      </w:tblGrid>
      <w:tr w:rsidR="00D2153E" w:rsidRPr="009F27BF" w:rsidTr="00E70A4B">
        <w:trPr>
          <w:tblCellSpacing w:w="0" w:type="dxa"/>
        </w:trPr>
        <w:tc>
          <w:tcPr>
            <w:tcW w:w="5000" w:type="pct"/>
            <w:tcMar>
              <w:top w:w="0" w:type="dxa"/>
              <w:left w:w="180" w:type="dxa"/>
              <w:bottom w:w="225" w:type="dxa"/>
              <w:right w:w="300" w:type="dxa"/>
            </w:tcMar>
            <w:hideMark/>
          </w:tcPr>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t>Если доходы предпринимателя за расчетный период превысят 300 000 рублей, помимо платежей в размере 22 261,38 рублей (ПФР + ФФОМС), предприниматель должен рассчитать и перечислить в Пенсионный фонд РФ часть страховых взносов, составляющую 1% от суммы превышения. (</w:t>
            </w:r>
            <w:r w:rsidRPr="009F27BF">
              <w:rPr>
                <w:i/>
                <w:color w:val="111111"/>
                <w:lang w:eastAsia="ru-RU"/>
              </w:rPr>
              <w:t>Основание: часть 1.1 статьи 14 Федерального закона от 24.07.2009 № 212-ФЗ в редакции Федерального закона от 23.07.2013 № 237-ФЗ).</w:t>
            </w:r>
          </w:p>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t xml:space="preserve">Законодательно предусмотрено ограничение суммы страховых взносов в ПФР. Страховые взносы не могут превышать произведение восьмикратного МРОТ на начало года и тарифа ПФР, увеличенное в 12 раз. То есть, на 2015 год </w:t>
            </w:r>
            <w:r w:rsidRPr="009F27BF">
              <w:rPr>
                <w:b/>
                <w:bCs/>
                <w:color w:val="111111"/>
                <w:sz w:val="26"/>
                <w:szCs w:val="26"/>
                <w:lang w:eastAsia="ru-RU"/>
              </w:rPr>
              <w:t>максимальный размер взносов в ПФР составляет 148886,40 рублей</w:t>
            </w:r>
            <w:r w:rsidRPr="009F27BF">
              <w:rPr>
                <w:color w:val="111111"/>
                <w:sz w:val="26"/>
                <w:szCs w:val="26"/>
                <w:lang w:eastAsia="ru-RU"/>
              </w:rPr>
              <w:t> (5965 х 8 х 26% х 12).</w:t>
            </w:r>
          </w:p>
        </w:tc>
      </w:tr>
      <w:tr w:rsidR="00D2153E" w:rsidRPr="009F27BF" w:rsidTr="00E70A4B">
        <w:trPr>
          <w:tblCellSpacing w:w="0" w:type="dxa"/>
        </w:trPr>
        <w:tc>
          <w:tcPr>
            <w:tcW w:w="0" w:type="auto"/>
            <w:tcMar>
              <w:top w:w="0" w:type="dxa"/>
              <w:left w:w="180" w:type="dxa"/>
              <w:bottom w:w="225" w:type="dxa"/>
              <w:right w:w="300" w:type="dxa"/>
            </w:tcMar>
            <w:hideMark/>
          </w:tcPr>
          <w:p w:rsidR="00D2153E" w:rsidRPr="009F27BF" w:rsidRDefault="00D2153E" w:rsidP="00E70A4B">
            <w:pPr>
              <w:spacing w:before="100" w:beforeAutospacing="1" w:after="100" w:afterAutospacing="1"/>
              <w:jc w:val="both"/>
              <w:rPr>
                <w:b/>
                <w:i/>
                <w:iCs/>
                <w:color w:val="111111"/>
                <w:kern w:val="36"/>
                <w:sz w:val="26"/>
                <w:szCs w:val="26"/>
                <w:lang w:eastAsia="ru-RU"/>
              </w:rPr>
            </w:pPr>
            <w:r w:rsidRPr="009F27BF">
              <w:rPr>
                <w:b/>
                <w:i/>
                <w:iCs/>
                <w:color w:val="111111"/>
                <w:kern w:val="36"/>
                <w:sz w:val="26"/>
                <w:szCs w:val="26"/>
                <w:lang w:eastAsia="ru-RU"/>
              </w:rPr>
              <w:t xml:space="preserve">Расчет доходов </w:t>
            </w:r>
          </w:p>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t>Основание: часть 8 статьи 14 Федерального закона от 24 июля 2009 года № 212-ФЗ в редакции Федерального закона от 23.07.2013 № 237-ФЗ.</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26"/>
              <w:gridCol w:w="2941"/>
              <w:gridCol w:w="3156"/>
            </w:tblGrid>
            <w:tr w:rsidR="00D2153E" w:rsidRPr="009F27BF" w:rsidTr="00E70A4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2153E" w:rsidRPr="009F27BF" w:rsidRDefault="00D2153E" w:rsidP="00E70A4B">
                  <w:pPr>
                    <w:jc w:val="both"/>
                    <w:rPr>
                      <w:b/>
                      <w:bCs/>
                      <w:sz w:val="26"/>
                      <w:szCs w:val="26"/>
                      <w:lang w:eastAsia="ru-RU"/>
                    </w:rPr>
                  </w:pPr>
                  <w:r w:rsidRPr="009F27BF">
                    <w:rPr>
                      <w:b/>
                      <w:bCs/>
                      <w:sz w:val="26"/>
                      <w:szCs w:val="26"/>
                      <w:lang w:eastAsia="ru-RU"/>
                    </w:rPr>
                    <w:t>Режим налогообложения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2153E" w:rsidRPr="009F27BF" w:rsidRDefault="00D2153E" w:rsidP="00E70A4B">
                  <w:pPr>
                    <w:jc w:val="both"/>
                    <w:rPr>
                      <w:b/>
                      <w:bCs/>
                      <w:sz w:val="26"/>
                      <w:szCs w:val="26"/>
                      <w:lang w:eastAsia="ru-RU"/>
                    </w:rPr>
                  </w:pPr>
                  <w:r w:rsidRPr="009F27BF">
                    <w:rPr>
                      <w:b/>
                      <w:bCs/>
                      <w:sz w:val="26"/>
                      <w:szCs w:val="26"/>
                      <w:lang w:eastAsia="ru-RU"/>
                    </w:rPr>
                    <w:t>Доход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2153E" w:rsidRPr="009F27BF" w:rsidRDefault="00D2153E" w:rsidP="00E70A4B">
                  <w:pPr>
                    <w:jc w:val="both"/>
                    <w:rPr>
                      <w:b/>
                      <w:bCs/>
                      <w:sz w:val="26"/>
                      <w:szCs w:val="26"/>
                      <w:lang w:eastAsia="ru-RU"/>
                    </w:rPr>
                  </w:pPr>
                  <w:r w:rsidRPr="009F27BF">
                    <w:rPr>
                      <w:b/>
                      <w:bCs/>
                      <w:sz w:val="26"/>
                      <w:szCs w:val="26"/>
                      <w:lang w:eastAsia="ru-RU"/>
                    </w:rPr>
                    <w:t>Откуда берем</w:t>
                  </w:r>
                </w:p>
              </w:tc>
            </w:tr>
            <w:tr w:rsidR="00D2153E" w:rsidRPr="009F27BF" w:rsidTr="00E70A4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 xml:space="preserve">ОСН </w:t>
                  </w:r>
                </w:p>
                <w:p w:rsidR="00D2153E" w:rsidRPr="009F27BF" w:rsidRDefault="00D2153E" w:rsidP="00E70A4B">
                  <w:pPr>
                    <w:jc w:val="both"/>
                    <w:rPr>
                      <w:color w:val="111111"/>
                      <w:sz w:val="26"/>
                      <w:szCs w:val="26"/>
                      <w:lang w:eastAsia="ru-RU"/>
                    </w:rPr>
                  </w:pPr>
                  <w:r w:rsidRPr="009F27BF">
                    <w:rPr>
                      <w:color w:val="111111"/>
                      <w:sz w:val="26"/>
                      <w:szCs w:val="26"/>
                      <w:lang w:eastAsia="ru-RU"/>
                    </w:rPr>
                    <w:t>(доходы от предпринимательской деятельности)</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Доходы, облагаемые НДФЛ. Исчисляются в соответствии со ст. 227 НК РФ</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Декларация 3-НДФЛ; п. 3.1 Лист В</w:t>
                  </w:r>
                </w:p>
              </w:tc>
            </w:tr>
            <w:tr w:rsidR="00D2153E" w:rsidRPr="009F27BF" w:rsidTr="00E70A4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УСН</w:t>
                  </w:r>
                </w:p>
                <w:p w:rsidR="00D2153E" w:rsidRPr="009F27BF" w:rsidRDefault="00D2153E" w:rsidP="00E70A4B">
                  <w:pPr>
                    <w:jc w:val="both"/>
                    <w:rPr>
                      <w:color w:val="111111"/>
                      <w:sz w:val="26"/>
                      <w:szCs w:val="26"/>
                      <w:lang w:eastAsia="ru-RU"/>
                    </w:rPr>
                  </w:pPr>
                  <w:r w:rsidRPr="009F27BF">
                    <w:rPr>
                      <w:color w:val="111111"/>
                      <w:sz w:val="26"/>
                      <w:szCs w:val="26"/>
                      <w:lang w:eastAsia="ru-RU"/>
                    </w:rPr>
                    <w:t>(не зависимо от выбранного варианта налогообложения (6% или 15%)</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Доходы, облагаемые Единым налогом. Исчисляются в соответствии со ст. 346.15 НК РФ</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Итог графы 4 Книги учета доходов и расходов</w:t>
                  </w:r>
                </w:p>
              </w:tc>
            </w:tr>
            <w:tr w:rsidR="00D2153E" w:rsidRPr="009F27BF" w:rsidTr="00E70A4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Патентная система</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Потенциально возможный доход. Исчисляется в соответствии со ст. 346.47 и 346.51 НК РФ</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Доход, от которого считается стоимость патента</w:t>
                  </w:r>
                </w:p>
              </w:tc>
            </w:tr>
            <w:tr w:rsidR="00D2153E" w:rsidRPr="009F27BF" w:rsidTr="00E70A4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ЕНВД</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 xml:space="preserve">Вмененный доход. </w:t>
                  </w:r>
                  <w:r w:rsidRPr="009F27BF">
                    <w:rPr>
                      <w:color w:val="111111"/>
                      <w:sz w:val="26"/>
                      <w:szCs w:val="26"/>
                      <w:lang w:eastAsia="ru-RU"/>
                    </w:rPr>
                    <w:lastRenderedPageBreak/>
                    <w:t>Исчисляется в соответствии со ст. 346.29 НК РФ</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lastRenderedPageBreak/>
                    <w:t xml:space="preserve">Раздел 2 стр.100 </w:t>
                  </w:r>
                  <w:r w:rsidRPr="009F27BF">
                    <w:rPr>
                      <w:color w:val="111111"/>
                      <w:sz w:val="26"/>
                      <w:szCs w:val="26"/>
                      <w:lang w:eastAsia="ru-RU"/>
                    </w:rPr>
                    <w:lastRenderedPageBreak/>
                    <w:t>Декларации по ЕНВД. При наличии нескольких Разделов 2 все суммы по стр.100 складываются</w:t>
                  </w:r>
                </w:p>
              </w:tc>
            </w:tr>
            <w:tr w:rsidR="00D2153E" w:rsidRPr="009F27BF" w:rsidTr="00E70A4B">
              <w:trPr>
                <w:trHeight w:val="1463"/>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lastRenderedPageBreak/>
                    <w:t>ЕСХН</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Доходы, облагаемые ЕСХН. Исчисляются в соответствии с п.1 ст. 346.5 НК РФ</w:t>
                  </w:r>
                </w:p>
              </w:tc>
              <w:tc>
                <w:tcPr>
                  <w:tcW w:w="0" w:type="auto"/>
                  <w:tcBorders>
                    <w:top w:val="outset" w:sz="6" w:space="0" w:color="auto"/>
                    <w:left w:val="outset" w:sz="6" w:space="0" w:color="auto"/>
                    <w:bottom w:val="outset" w:sz="6" w:space="0" w:color="auto"/>
                    <w:right w:val="outset" w:sz="6" w:space="0" w:color="auto"/>
                  </w:tcBorders>
                  <w:tcMar>
                    <w:top w:w="15" w:type="dxa"/>
                    <w:left w:w="180" w:type="dxa"/>
                    <w:bottom w:w="225" w:type="dxa"/>
                    <w:right w:w="300" w:type="dxa"/>
                  </w:tcMar>
                  <w:hideMark/>
                </w:tcPr>
                <w:p w:rsidR="00D2153E" w:rsidRPr="009F27BF" w:rsidRDefault="00D2153E" w:rsidP="00E70A4B">
                  <w:pPr>
                    <w:jc w:val="both"/>
                    <w:rPr>
                      <w:color w:val="111111"/>
                      <w:sz w:val="26"/>
                      <w:szCs w:val="26"/>
                      <w:lang w:eastAsia="ru-RU"/>
                    </w:rPr>
                  </w:pPr>
                  <w:r w:rsidRPr="009F27BF">
                    <w:rPr>
                      <w:color w:val="111111"/>
                      <w:sz w:val="26"/>
                      <w:szCs w:val="26"/>
                      <w:lang w:eastAsia="ru-RU"/>
                    </w:rPr>
                    <w:t>Итог графы 4 Книги учета доходов и расходов</w:t>
                  </w:r>
                </w:p>
              </w:tc>
            </w:tr>
          </w:tbl>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t>Если предприниматель применяет более одного режима налогообложения, облагаемые доходы от деятельности суммируются.</w:t>
            </w:r>
          </w:p>
          <w:p w:rsidR="00D2153E" w:rsidRPr="009F27BF" w:rsidRDefault="00D2153E" w:rsidP="00E70A4B">
            <w:pPr>
              <w:spacing w:before="100" w:beforeAutospacing="1" w:after="100" w:afterAutospacing="1"/>
              <w:jc w:val="both"/>
              <w:rPr>
                <w:color w:val="111111"/>
                <w:sz w:val="26"/>
                <w:szCs w:val="26"/>
                <w:lang w:eastAsia="ru-RU"/>
              </w:rPr>
            </w:pPr>
            <w:r w:rsidRPr="009F27BF">
              <w:rPr>
                <w:b/>
                <w:bCs/>
                <w:color w:val="111111"/>
                <w:sz w:val="26"/>
                <w:szCs w:val="26"/>
                <w:lang w:eastAsia="ru-RU"/>
              </w:rPr>
              <w:t>Срок уплаты:</w:t>
            </w:r>
            <w:r w:rsidRPr="009F27BF">
              <w:rPr>
                <w:color w:val="111111"/>
                <w:sz w:val="26"/>
                <w:szCs w:val="26"/>
                <w:lang w:eastAsia="ru-RU"/>
              </w:rPr>
              <w:t> страховые взносы в размере 1% от суммы дохода свыше 300 000 рублей должны быть перечислены в бюджет не позднее 1 апреля года, следующего за истекшим расчетным периодом.</w:t>
            </w:r>
          </w:p>
          <w:p w:rsidR="00D2153E" w:rsidRPr="009F27BF" w:rsidRDefault="00D2153E" w:rsidP="00E70A4B">
            <w:pPr>
              <w:spacing w:before="100" w:beforeAutospacing="1" w:after="100" w:afterAutospacing="1"/>
              <w:jc w:val="both"/>
              <w:rPr>
                <w:color w:val="111111"/>
                <w:sz w:val="26"/>
                <w:szCs w:val="26"/>
                <w:lang w:eastAsia="ru-RU"/>
              </w:rPr>
            </w:pPr>
            <w:r w:rsidRPr="009F27BF">
              <w:rPr>
                <w:b/>
                <w:bCs/>
                <w:color w:val="111111"/>
                <w:sz w:val="26"/>
                <w:szCs w:val="26"/>
                <w:lang w:eastAsia="ru-RU"/>
              </w:rPr>
              <w:t>Пример:</w:t>
            </w:r>
            <w:r w:rsidRPr="009F27BF">
              <w:rPr>
                <w:color w:val="111111"/>
                <w:sz w:val="26"/>
                <w:szCs w:val="26"/>
                <w:lang w:eastAsia="ru-RU"/>
              </w:rPr>
              <w:t xml:space="preserve"> Доход индивидуального предпринимателя </w:t>
            </w:r>
            <w:r>
              <w:rPr>
                <w:color w:val="111111"/>
                <w:sz w:val="26"/>
                <w:szCs w:val="26"/>
                <w:lang w:eastAsia="ru-RU"/>
              </w:rPr>
              <w:t>за 2015 год</w:t>
            </w:r>
            <w:r w:rsidRPr="009F27BF">
              <w:rPr>
                <w:color w:val="111111"/>
                <w:sz w:val="26"/>
                <w:szCs w:val="26"/>
                <w:lang w:eastAsia="ru-RU"/>
              </w:rPr>
              <w:t xml:space="preserve"> 2 400 000 руб. Сумма страховых взносов в ПФР составит:</w:t>
            </w:r>
          </w:p>
          <w:p w:rsidR="00D2153E" w:rsidRPr="009F27BF" w:rsidRDefault="00D2153E" w:rsidP="00D2153E">
            <w:pPr>
              <w:numPr>
                <w:ilvl w:val="0"/>
                <w:numId w:val="11"/>
              </w:numPr>
              <w:suppressAutoHyphens w:val="0"/>
              <w:spacing w:before="100" w:beforeAutospacing="1" w:after="100" w:afterAutospacing="1"/>
              <w:ind w:left="375"/>
              <w:jc w:val="both"/>
              <w:rPr>
                <w:color w:val="111111"/>
                <w:sz w:val="26"/>
                <w:szCs w:val="26"/>
                <w:lang w:eastAsia="ru-RU"/>
              </w:rPr>
            </w:pPr>
            <w:r w:rsidRPr="009F27BF">
              <w:rPr>
                <w:color w:val="111111"/>
                <w:sz w:val="26"/>
                <w:szCs w:val="26"/>
                <w:lang w:eastAsia="ru-RU"/>
              </w:rPr>
              <w:t>18610,80 рублей</w:t>
            </w:r>
          </w:p>
          <w:p w:rsidR="00D2153E" w:rsidRPr="009F27BF" w:rsidRDefault="00D2153E" w:rsidP="00D2153E">
            <w:pPr>
              <w:numPr>
                <w:ilvl w:val="0"/>
                <w:numId w:val="11"/>
              </w:numPr>
              <w:suppressAutoHyphens w:val="0"/>
              <w:spacing w:before="100" w:beforeAutospacing="1" w:after="100" w:afterAutospacing="1"/>
              <w:ind w:left="375"/>
              <w:jc w:val="both"/>
              <w:rPr>
                <w:color w:val="111111"/>
                <w:sz w:val="26"/>
                <w:szCs w:val="26"/>
                <w:lang w:eastAsia="ru-RU"/>
              </w:rPr>
            </w:pPr>
            <w:r w:rsidRPr="009F27BF">
              <w:rPr>
                <w:color w:val="111111"/>
                <w:sz w:val="26"/>
                <w:szCs w:val="26"/>
                <w:lang w:eastAsia="ru-RU"/>
              </w:rPr>
              <w:t>(2 400 000 – 300 000) х 1% = 21000 рублей</w:t>
            </w:r>
          </w:p>
          <w:p w:rsidR="00D2153E" w:rsidRPr="009F27BF" w:rsidRDefault="00D2153E" w:rsidP="00E70A4B">
            <w:pPr>
              <w:spacing w:before="100" w:beforeAutospacing="1" w:after="100" w:afterAutospacing="1"/>
              <w:ind w:left="567"/>
              <w:jc w:val="both"/>
              <w:rPr>
                <w:color w:val="111111"/>
                <w:sz w:val="26"/>
                <w:szCs w:val="26"/>
                <w:lang w:eastAsia="ru-RU"/>
              </w:rPr>
            </w:pPr>
            <w:r w:rsidRPr="009F27BF">
              <w:rPr>
                <w:color w:val="111111"/>
                <w:sz w:val="26"/>
                <w:szCs w:val="26"/>
                <w:lang w:eastAsia="ru-RU"/>
              </w:rPr>
              <w:t>Итого: 39610,80 рублей</w:t>
            </w:r>
          </w:p>
          <w:p w:rsidR="00D2153E" w:rsidRPr="009F27BF" w:rsidRDefault="00D2153E" w:rsidP="00E70A4B">
            <w:pPr>
              <w:spacing w:before="100" w:beforeAutospacing="1" w:after="100" w:afterAutospacing="1"/>
              <w:jc w:val="both"/>
              <w:rPr>
                <w:color w:val="111111"/>
                <w:sz w:val="26"/>
                <w:szCs w:val="26"/>
                <w:lang w:eastAsia="ru-RU"/>
              </w:rPr>
            </w:pPr>
            <w:r w:rsidRPr="009F27BF">
              <w:rPr>
                <w:color w:val="111111"/>
                <w:sz w:val="26"/>
                <w:szCs w:val="26"/>
                <w:lang w:eastAsia="ru-RU"/>
              </w:rPr>
              <w:t xml:space="preserve">В ФФОМС независимо от размера доходов уплачиваем фиксированный платеж 3650,58 рублей. </w:t>
            </w:r>
          </w:p>
          <w:p w:rsidR="00D2153E" w:rsidRPr="009F27BF" w:rsidRDefault="00D2153E" w:rsidP="00E70A4B">
            <w:pPr>
              <w:spacing w:before="100" w:beforeAutospacing="1" w:after="100" w:afterAutospacing="1"/>
              <w:jc w:val="both"/>
              <w:rPr>
                <w:color w:val="111111"/>
                <w:sz w:val="26"/>
                <w:szCs w:val="26"/>
                <w:lang w:eastAsia="ru-RU"/>
              </w:rPr>
            </w:pPr>
            <w:r w:rsidRPr="009F27BF">
              <w:rPr>
                <w:sz w:val="26"/>
                <w:szCs w:val="26"/>
              </w:rPr>
              <w:t>Обязанность по уплате страховых взносов не зависит от факта осуществления деятельности, а возникает в силу факта государственной регистрации физического лица в качестве индивидуального предпринимателя.</w:t>
            </w:r>
          </w:p>
        </w:tc>
      </w:tr>
    </w:tbl>
    <w:p w:rsidR="00D2153E" w:rsidRPr="009F27BF" w:rsidRDefault="00D2153E" w:rsidP="00D2153E">
      <w:pPr>
        <w:jc w:val="both"/>
        <w:outlineLvl w:val="0"/>
        <w:rPr>
          <w:b/>
          <w:i/>
          <w:iCs/>
          <w:color w:val="111111"/>
          <w:kern w:val="36"/>
          <w:sz w:val="26"/>
          <w:szCs w:val="26"/>
          <w:lang w:eastAsia="ru-RU"/>
        </w:rPr>
      </w:pPr>
      <w:r w:rsidRPr="009F27BF">
        <w:rPr>
          <w:b/>
          <w:i/>
          <w:iCs/>
          <w:color w:val="111111"/>
          <w:kern w:val="36"/>
          <w:sz w:val="26"/>
          <w:szCs w:val="26"/>
          <w:lang w:eastAsia="ru-RU"/>
        </w:rPr>
        <w:lastRenderedPageBreak/>
        <w:t>Отчетность по страховым взносам и штрафные санкции индивидуальных предпринимателей</w:t>
      </w:r>
    </w:p>
    <w:tbl>
      <w:tblPr>
        <w:tblW w:w="5000" w:type="pct"/>
        <w:tblCellSpacing w:w="0" w:type="dxa"/>
        <w:tblCellMar>
          <w:left w:w="0" w:type="dxa"/>
          <w:right w:w="0" w:type="dxa"/>
        </w:tblCellMar>
        <w:tblLook w:val="04A0"/>
      </w:tblPr>
      <w:tblGrid>
        <w:gridCol w:w="10119"/>
      </w:tblGrid>
      <w:tr w:rsidR="00D2153E" w:rsidRPr="009F27BF" w:rsidTr="00E70A4B">
        <w:trPr>
          <w:tblCellSpacing w:w="0" w:type="dxa"/>
        </w:trPr>
        <w:tc>
          <w:tcPr>
            <w:tcW w:w="0" w:type="auto"/>
            <w:tcMar>
              <w:top w:w="0" w:type="dxa"/>
              <w:left w:w="180" w:type="dxa"/>
              <w:bottom w:w="225" w:type="dxa"/>
              <w:right w:w="300" w:type="dxa"/>
            </w:tcMar>
            <w:hideMark/>
          </w:tcPr>
          <w:p w:rsidR="00D2153E" w:rsidRPr="009F27BF" w:rsidRDefault="00D2153E" w:rsidP="00E70A4B">
            <w:pPr>
              <w:spacing w:before="100" w:beforeAutospacing="1" w:after="100" w:afterAutospacing="1"/>
              <w:contextualSpacing/>
              <w:jc w:val="both"/>
              <w:rPr>
                <w:color w:val="111111"/>
                <w:sz w:val="26"/>
                <w:szCs w:val="26"/>
                <w:lang w:eastAsia="ru-RU"/>
              </w:rPr>
            </w:pPr>
            <w:r w:rsidRPr="009F27BF">
              <w:rPr>
                <w:color w:val="111111"/>
                <w:sz w:val="26"/>
                <w:szCs w:val="26"/>
                <w:lang w:eastAsia="ru-RU"/>
              </w:rPr>
              <w:t>С 2012 года индивидуальные предприниматели, нотариусы и адвокаты отчетность в ПФР не представляют. По итогам расчетного периода в налоговую инспекцию должны быть представлены сведения о доходах в соответствии с выбранным режимом налогообложения. Если информация о доходах предпринимателя у ФНС будет отсутствовать в связи с непредставлением им отчетности, органы ПФР обязаны взыскать взносы по максимальному тарифу, исходя из восьмикратного МРОТ в сумме 148886,40 рублей.</w:t>
            </w:r>
          </w:p>
          <w:p w:rsidR="00D2153E" w:rsidRPr="009F27BF" w:rsidRDefault="00D2153E" w:rsidP="00E70A4B">
            <w:pPr>
              <w:autoSpaceDE w:val="0"/>
              <w:autoSpaceDN w:val="0"/>
              <w:adjustRightInd w:val="0"/>
              <w:contextualSpacing/>
              <w:jc w:val="both"/>
              <w:rPr>
                <w:sz w:val="26"/>
                <w:szCs w:val="26"/>
                <w:lang w:eastAsia="ru-RU"/>
              </w:rPr>
            </w:pPr>
            <w:r w:rsidRPr="009F27BF">
              <w:rPr>
                <w:sz w:val="26"/>
                <w:szCs w:val="26"/>
                <w:lang w:eastAsia="ru-RU"/>
              </w:rPr>
              <w:t xml:space="preserve">В случае прекращения физическим лицом деятельности в качестве индивидуального </w:t>
            </w:r>
            <w:r w:rsidRPr="009F27BF">
              <w:rPr>
                <w:sz w:val="26"/>
                <w:szCs w:val="26"/>
                <w:lang w:eastAsia="ru-RU"/>
              </w:rPr>
              <w:lastRenderedPageBreak/>
              <w:t>предпринимателя, прекращения либо приостановления статуса адвоката, прекращения полномочий нотариуса, занимающегося частной практикой, прекращения деятельности иных лиц, занимающихся в установленном законодательством Российской Федерации порядке частной практикой, уплата страховых взносов такими плательщиками страховых взносов производится не позднее 15 календарных дней с даты государственной регистрации прекращения (приостановления) их деятельности включительно.</w:t>
            </w:r>
          </w:p>
          <w:p w:rsidR="00D2153E" w:rsidRPr="009F27BF" w:rsidRDefault="00D2153E" w:rsidP="00E70A4B">
            <w:pPr>
              <w:spacing w:before="100" w:beforeAutospacing="1" w:after="100" w:afterAutospacing="1"/>
              <w:contextualSpacing/>
              <w:rPr>
                <w:color w:val="343434"/>
                <w:sz w:val="26"/>
                <w:szCs w:val="26"/>
                <w:lang w:eastAsia="ru-RU"/>
              </w:rPr>
            </w:pPr>
            <w:r w:rsidRPr="009F27BF">
              <w:rPr>
                <w:color w:val="DC0000"/>
                <w:sz w:val="26"/>
                <w:szCs w:val="26"/>
                <w:lang w:eastAsia="ru-RU"/>
              </w:rPr>
              <w:t>Вниманию глав крестьянских (фермерских) хозяйств!</w:t>
            </w:r>
            <w:r w:rsidRPr="009F27BF">
              <w:rPr>
                <w:color w:val="343434"/>
                <w:sz w:val="26"/>
                <w:szCs w:val="26"/>
                <w:lang w:eastAsia="ru-RU"/>
              </w:rPr>
              <w:t> </w:t>
            </w:r>
          </w:p>
          <w:p w:rsidR="00D2153E" w:rsidRPr="009F27BF" w:rsidRDefault="00D2153E" w:rsidP="00E70A4B">
            <w:pPr>
              <w:autoSpaceDE w:val="0"/>
              <w:autoSpaceDN w:val="0"/>
              <w:adjustRightInd w:val="0"/>
              <w:contextualSpacing/>
              <w:jc w:val="both"/>
              <w:rPr>
                <w:sz w:val="26"/>
                <w:szCs w:val="26"/>
                <w:lang w:eastAsia="ru-RU"/>
              </w:rPr>
            </w:pPr>
            <w:r w:rsidRPr="009F27BF">
              <w:rPr>
                <w:sz w:val="26"/>
                <w:szCs w:val="26"/>
                <w:lang w:eastAsia="ru-RU"/>
              </w:rPr>
              <w:t xml:space="preserve">Главы крестьянских (фермерских) хозяйств уплачивают соответствующие страховые взносы в Пенсионный фонд Федерации и Федеральный фонд обязательного медицинского страхования </w:t>
            </w:r>
            <w:hyperlink r:id="rId8" w:history="1"/>
            <w:r w:rsidRPr="009F27BF">
              <w:rPr>
                <w:sz w:val="26"/>
                <w:szCs w:val="26"/>
                <w:lang w:eastAsia="ru-RU"/>
              </w:rPr>
              <w:t>в фиксированном размере за себя и за каждого члена крестьянского (фермерского) хозяйства.</w:t>
            </w:r>
          </w:p>
          <w:p w:rsidR="00D2153E" w:rsidRPr="009F27BF" w:rsidRDefault="00D2153E" w:rsidP="00E70A4B">
            <w:pPr>
              <w:autoSpaceDE w:val="0"/>
              <w:autoSpaceDN w:val="0"/>
              <w:adjustRightInd w:val="0"/>
              <w:contextualSpacing/>
              <w:jc w:val="both"/>
              <w:rPr>
                <w:sz w:val="26"/>
                <w:szCs w:val="26"/>
                <w:lang w:eastAsia="ru-RU"/>
              </w:rPr>
            </w:pPr>
            <w:r w:rsidRPr="009F27BF">
              <w:rPr>
                <w:sz w:val="26"/>
                <w:szCs w:val="26"/>
                <w:lang w:eastAsia="ru-RU"/>
              </w:rPr>
              <w:t>При этом фиксированный размер страхового взноса по каждому соответствующему виду обязательного социального страхования определяется как произведение минимального размера оплаты труда, установленного федеральным законом на начало финансового года, за который уплачиваются страховые взносы, тарифа страховых взносов в соответствующий фонд, установленного частью 2 статьи 12 настоящего Федерального закона, увеличенное в 12 раз, и количества всех членов крестьянского (фермерского) хозяйства, включая главу крестьянского (фермерского) хозяйства.</w:t>
            </w:r>
          </w:p>
          <w:p w:rsidR="00D2153E" w:rsidRPr="009F27BF" w:rsidRDefault="00D2153E" w:rsidP="00E70A4B">
            <w:pPr>
              <w:pStyle w:val="af0"/>
              <w:spacing w:after="0"/>
              <w:contextualSpacing/>
              <w:jc w:val="both"/>
              <w:rPr>
                <w:sz w:val="26"/>
                <w:szCs w:val="26"/>
              </w:rPr>
            </w:pPr>
            <w:r w:rsidRPr="009F27BF">
              <w:rPr>
                <w:sz w:val="26"/>
                <w:szCs w:val="26"/>
              </w:rPr>
              <w:t xml:space="preserve">Главы крестьянских (фермерских) хозяйств расчет по начисленным и уплаченным страховым взносам должны представить до 1 марта календарного года, следующего за истекшим расчетным периодом. Непредставление расчета по начисленным и уплаченным страховым взносам в установленный законом срок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его представления, но не более 30 процентов указанной суммы и не менее 1 000 рублей. </w:t>
            </w:r>
          </w:p>
          <w:p w:rsidR="00D2153E" w:rsidRPr="009F27BF" w:rsidRDefault="00D2153E" w:rsidP="00E70A4B">
            <w:pPr>
              <w:autoSpaceDE w:val="0"/>
              <w:autoSpaceDN w:val="0"/>
              <w:adjustRightInd w:val="0"/>
              <w:contextualSpacing/>
              <w:jc w:val="both"/>
              <w:rPr>
                <w:sz w:val="26"/>
                <w:szCs w:val="26"/>
                <w:highlight w:val="yellow"/>
                <w:lang w:eastAsia="ru-RU"/>
              </w:rPr>
            </w:pPr>
          </w:p>
          <w:p w:rsidR="00D2153E" w:rsidRPr="009F27BF" w:rsidRDefault="00D2153E" w:rsidP="00E70A4B">
            <w:pPr>
              <w:pStyle w:val="ConsPlusNormal"/>
              <w:ind w:firstLine="540"/>
              <w:contextualSpacing/>
              <w:jc w:val="both"/>
              <w:rPr>
                <w:rFonts w:ascii="Times New Roman" w:hAnsi="Times New Roman" w:cs="Times New Roman"/>
                <w:sz w:val="26"/>
                <w:szCs w:val="26"/>
              </w:rPr>
            </w:pPr>
            <w:r w:rsidRPr="009F27BF">
              <w:rPr>
                <w:rFonts w:ascii="Times New Roman" w:hAnsi="Times New Roman" w:cs="Times New Roman"/>
                <w:sz w:val="26"/>
                <w:szCs w:val="26"/>
              </w:rPr>
              <w:t>Физические лица, прекратившие деятельность в качестве главы крестьянского (фермерского) хозяйства до конца расчетного периода обязаны в двенадцатидневный срок с даты государственной регистрации прекращения физическим лицом деятельности в качестве главы крестьянского (фермерского) хозяйства представить в соответствующий территориальный орган Пенсионного фонда Российской Федерации расчет по начисленным и уплаченным страховым взносам за период с начала расчетного периода по дату государственной регистрации прекращения физическим лицом деятельности в качестве главы крестьянского (фермерского) хозяйства включительно. Сумма страховых взносов, подлежащих уплате в соответствии с указанным расчетом, подлежит уплате в течение 15 календарных дней со дня подачи такого расчета.</w:t>
            </w:r>
          </w:p>
          <w:p w:rsidR="00D2153E" w:rsidRPr="009F27BF" w:rsidRDefault="00D2153E" w:rsidP="00E70A4B">
            <w:pPr>
              <w:spacing w:before="100" w:beforeAutospacing="1" w:after="100" w:afterAutospacing="1"/>
              <w:contextualSpacing/>
              <w:rPr>
                <w:color w:val="343434"/>
                <w:sz w:val="26"/>
                <w:szCs w:val="26"/>
                <w:lang w:eastAsia="ru-RU"/>
              </w:rPr>
            </w:pPr>
            <w:r w:rsidRPr="009F27BF">
              <w:rPr>
                <w:color w:val="DC0000"/>
                <w:sz w:val="26"/>
                <w:szCs w:val="26"/>
                <w:lang w:eastAsia="ru-RU"/>
              </w:rPr>
              <w:t>Вниманию работодателей!</w:t>
            </w:r>
            <w:r w:rsidRPr="009F27BF">
              <w:rPr>
                <w:color w:val="343434"/>
                <w:sz w:val="26"/>
                <w:szCs w:val="26"/>
                <w:lang w:eastAsia="ru-RU"/>
              </w:rPr>
              <w:t> </w:t>
            </w:r>
          </w:p>
          <w:p w:rsidR="00D2153E" w:rsidRPr="009F27BF" w:rsidRDefault="00D2153E" w:rsidP="00E70A4B">
            <w:pPr>
              <w:pStyle w:val="af0"/>
              <w:spacing w:after="0"/>
              <w:contextualSpacing/>
              <w:jc w:val="both"/>
              <w:rPr>
                <w:sz w:val="26"/>
                <w:szCs w:val="26"/>
              </w:rPr>
            </w:pPr>
            <w:r w:rsidRPr="009F27BF">
              <w:rPr>
                <w:sz w:val="26"/>
                <w:szCs w:val="26"/>
              </w:rPr>
              <w:lastRenderedPageBreak/>
              <w:t>Физические лица - работодатели регистрируются только по месту жительства, в срок не позднее 30 рабочих дней со дня заключения соответствующих договоров.</w:t>
            </w:r>
          </w:p>
          <w:p w:rsidR="00D2153E" w:rsidRPr="009F27BF" w:rsidRDefault="00D2153E" w:rsidP="00E70A4B">
            <w:pPr>
              <w:pStyle w:val="af0"/>
              <w:spacing w:after="0"/>
              <w:contextualSpacing/>
              <w:jc w:val="both"/>
              <w:rPr>
                <w:sz w:val="26"/>
                <w:szCs w:val="26"/>
                <w:lang w:val="de-DE"/>
              </w:rPr>
            </w:pPr>
            <w:r w:rsidRPr="009F27BF">
              <w:rPr>
                <w:sz w:val="26"/>
                <w:szCs w:val="26"/>
              </w:rPr>
              <w:t>Нарушение индивидуальным предпринимателем (главой КФХ) - работодателем установленного срока регистрации в органе ПФР (30 рабочих дней) влечет взыскание штрафа в размере 5 тыс. рублей; нарушение этого срока регистрации более чем на 90 дней, влечет взыскание штрафа в размере 10 тысяч рублей</w:t>
            </w:r>
            <w:r w:rsidRPr="009F27BF">
              <w:rPr>
                <w:color w:val="111111"/>
                <w:sz w:val="26"/>
                <w:szCs w:val="26"/>
              </w:rPr>
              <w:t>. (Основание: пункт 1 статьи 27 Федерального закона от 15.12.2001 № 167-ФЗ «Об обязательном пенсионном страховании»)</w:t>
            </w:r>
            <w:r w:rsidRPr="009F27BF">
              <w:rPr>
                <w:sz w:val="26"/>
                <w:szCs w:val="26"/>
              </w:rPr>
              <w:t>.</w:t>
            </w:r>
          </w:p>
          <w:p w:rsidR="00D2153E" w:rsidRPr="009F27BF" w:rsidRDefault="00D2153E" w:rsidP="00E70A4B">
            <w:pPr>
              <w:spacing w:before="100" w:beforeAutospacing="1" w:after="100" w:afterAutospacing="1"/>
              <w:contextualSpacing/>
              <w:jc w:val="both"/>
              <w:rPr>
                <w:color w:val="111111"/>
                <w:sz w:val="26"/>
                <w:szCs w:val="26"/>
                <w:lang w:eastAsia="ru-RU"/>
              </w:rPr>
            </w:pPr>
            <w:r w:rsidRPr="009F27BF">
              <w:rPr>
                <w:color w:val="111111"/>
                <w:sz w:val="26"/>
                <w:szCs w:val="26"/>
                <w:lang w:eastAsia="ru-RU"/>
              </w:rPr>
              <w:t xml:space="preserve">Реквизиты для уплаты страховых взносов в фиксированном размере можно получить в территориальном органе ПФР или на интернет-сайте </w:t>
            </w:r>
            <w:r w:rsidRPr="009F27BF">
              <w:rPr>
                <w:sz w:val="26"/>
                <w:szCs w:val="26"/>
                <w:shd w:val="clear" w:color="auto" w:fill="FFFFFF"/>
              </w:rPr>
              <w:t>(</w:t>
            </w:r>
            <w:r>
              <w:rPr>
                <w:sz w:val="26"/>
                <w:szCs w:val="26"/>
                <w:shd w:val="clear" w:color="auto" w:fill="FFFFFF"/>
              </w:rPr>
              <w:t>www.pfrf.ru</w:t>
            </w:r>
            <w:r w:rsidRPr="009F27BF">
              <w:rPr>
                <w:sz w:val="26"/>
                <w:szCs w:val="26"/>
                <w:shd w:val="clear" w:color="auto" w:fill="FFFFFF"/>
              </w:rPr>
              <w:t>)</w:t>
            </w:r>
            <w:r>
              <w:rPr>
                <w:sz w:val="26"/>
                <w:szCs w:val="26"/>
                <w:shd w:val="clear" w:color="auto" w:fill="FFFFFF"/>
              </w:rPr>
              <w:t>.</w:t>
            </w:r>
            <w:r w:rsidRPr="009F27BF">
              <w:rPr>
                <w:sz w:val="26"/>
                <w:szCs w:val="26"/>
                <w:shd w:val="clear" w:color="auto" w:fill="FFFFFF"/>
              </w:rPr>
              <w:t xml:space="preserve"> </w:t>
            </w:r>
          </w:p>
        </w:tc>
      </w:tr>
      <w:tr w:rsidR="00D2153E" w:rsidRPr="009F27BF" w:rsidTr="00E70A4B">
        <w:trPr>
          <w:tblCellSpacing w:w="0" w:type="dxa"/>
        </w:trPr>
        <w:tc>
          <w:tcPr>
            <w:tcW w:w="0" w:type="auto"/>
            <w:tcMar>
              <w:top w:w="0" w:type="dxa"/>
              <w:left w:w="180" w:type="dxa"/>
              <w:bottom w:w="225" w:type="dxa"/>
              <w:right w:w="300" w:type="dxa"/>
            </w:tcMar>
          </w:tcPr>
          <w:p w:rsidR="00D2153E" w:rsidRPr="009F27BF" w:rsidRDefault="00D2153E" w:rsidP="00E70A4B">
            <w:pPr>
              <w:spacing w:before="100" w:beforeAutospacing="1" w:after="100" w:afterAutospacing="1"/>
              <w:jc w:val="both"/>
              <w:rPr>
                <w:color w:val="111111"/>
                <w:sz w:val="26"/>
                <w:szCs w:val="26"/>
                <w:lang w:eastAsia="ru-RU"/>
              </w:rPr>
            </w:pPr>
          </w:p>
        </w:tc>
      </w:tr>
    </w:tbl>
    <w:p w:rsidR="00D2153E" w:rsidRPr="009F27BF" w:rsidRDefault="00D2153E" w:rsidP="00D2153E">
      <w:pPr>
        <w:pStyle w:val="af0"/>
        <w:spacing w:before="0" w:after="0"/>
        <w:jc w:val="both"/>
        <w:rPr>
          <w:sz w:val="26"/>
          <w:szCs w:val="26"/>
        </w:rPr>
      </w:pPr>
    </w:p>
    <w:p w:rsidR="00110194" w:rsidRPr="00D2153E" w:rsidRDefault="00110194" w:rsidP="00D2153E"/>
    <w:sectPr w:rsidR="00110194" w:rsidRPr="00D2153E" w:rsidSect="003728E9">
      <w:headerReference w:type="default" r:id="rId9"/>
      <w:pgSz w:w="11906" w:h="16838"/>
      <w:pgMar w:top="2236" w:right="991" w:bottom="993"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251" w:rsidRDefault="00D62251">
      <w:r>
        <w:separator/>
      </w:r>
    </w:p>
  </w:endnote>
  <w:endnote w:type="continuationSeparator" w:id="0">
    <w:p w:rsidR="00D62251" w:rsidRDefault="00D622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251" w:rsidRDefault="00D62251">
      <w:r>
        <w:separator/>
      </w:r>
    </w:p>
  </w:footnote>
  <w:footnote w:type="continuationSeparator" w:id="0">
    <w:p w:rsidR="00D62251" w:rsidRDefault="00D62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32" w:rsidRDefault="00AA6E8F">
    <w:pPr>
      <w:pStyle w:val="ad"/>
      <w:rPr>
        <w:lang w:eastAsia="ru-RU"/>
      </w:rPr>
    </w:pPr>
    <w:r>
      <w:pict>
        <v:shapetype id="_x0000_t202" coordsize="21600,21600" o:spt="202" path="m,l,21600r21600,l21600,xe">
          <v:stroke joinstyle="miter"/>
          <v:path gradientshapeok="t" o:connecttype="rect"/>
        </v:shapetype>
        <v:shape id="_x0000_s1025" type="#_x0000_t202" style="position:absolute;margin-left:25.2pt;margin-top:17.35pt;width:424.4pt;height:83pt;z-index:-251660288;mso-wrap-distance-left:9.05pt;mso-wrap-distance-right:9.05pt" stroked="f">
          <v:fill opacity="0" color2="black"/>
          <v:textbox style="mso-next-textbox:#_x0000_s1025" inset="0,0,0,0">
            <w:txbxContent>
              <w:p w:rsidR="00FB5F32" w:rsidRDefault="00FB5F32">
                <w:pPr>
                  <w:pStyle w:val="1"/>
                  <w:jc w:val="center"/>
                  <w:rPr>
                    <w:rFonts w:ascii="Arial" w:hAnsi="Arial" w:cs="Arial"/>
                    <w:w w:val="120"/>
                    <w:sz w:val="28"/>
                    <w:szCs w:val="28"/>
                  </w:rPr>
                </w:pPr>
              </w:p>
              <w:p w:rsidR="00FB5F32" w:rsidRDefault="00E03E84">
                <w:pPr>
                  <w:pStyle w:val="1"/>
                  <w:jc w:val="center"/>
                </w:pPr>
                <w:r>
                  <w:rPr>
                    <w:sz w:val="28"/>
                    <w:szCs w:val="28"/>
                  </w:rPr>
                  <w:t>Управление</w:t>
                </w:r>
                <w:r w:rsidR="00FB5F32">
                  <w:rPr>
                    <w:sz w:val="28"/>
                    <w:szCs w:val="28"/>
                  </w:rPr>
                  <w:t xml:space="preserve"> Пенсионного фонда </w:t>
                </w:r>
                <w:r w:rsidR="00E13739">
                  <w:rPr>
                    <w:sz w:val="28"/>
                    <w:szCs w:val="28"/>
                  </w:rPr>
                  <w:t xml:space="preserve">в </w:t>
                </w:r>
                <w:r>
                  <w:rPr>
                    <w:sz w:val="28"/>
                    <w:szCs w:val="28"/>
                  </w:rPr>
                  <w:t>Приморско</w:t>
                </w:r>
                <w:r w:rsidR="00E13739">
                  <w:rPr>
                    <w:sz w:val="28"/>
                    <w:szCs w:val="28"/>
                  </w:rPr>
                  <w:t>м</w:t>
                </w:r>
                <w:r>
                  <w:rPr>
                    <w:sz w:val="28"/>
                    <w:szCs w:val="28"/>
                  </w:rPr>
                  <w:t xml:space="preserve"> район</w:t>
                </w:r>
                <w:r w:rsidR="00E13739">
                  <w:rPr>
                    <w:sz w:val="28"/>
                    <w:szCs w:val="28"/>
                  </w:rPr>
                  <w:t>е</w:t>
                </w:r>
              </w:p>
              <w:p w:rsidR="00FB5F32" w:rsidRDefault="00FB5F32"/>
            </w:txbxContent>
          </v:textbox>
        </v:shape>
      </w:pict>
    </w:r>
    <w:r>
      <w:pict>
        <v:line id="_x0000_s1026" style="position:absolute;z-index:-251659264" from="36pt,70.45pt" to="449.8pt,70.45pt" strokeweight=".35mm">
          <v:stroke joinstyle="miter"/>
        </v:line>
      </w:pict>
    </w:r>
    <w:r w:rsidR="006C7C4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932E9"/>
    <w:multiLevelType w:val="hybridMultilevel"/>
    <w:tmpl w:val="8F288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A1394"/>
    <w:multiLevelType w:val="multilevel"/>
    <w:tmpl w:val="6C9054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00E79"/>
    <w:multiLevelType w:val="hybridMultilevel"/>
    <w:tmpl w:val="CD90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9F3D56"/>
    <w:multiLevelType w:val="hybridMultilevel"/>
    <w:tmpl w:val="B72219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603C98"/>
    <w:multiLevelType w:val="multilevel"/>
    <w:tmpl w:val="91E6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F65974"/>
    <w:multiLevelType w:val="hybridMultilevel"/>
    <w:tmpl w:val="EC785F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0434E81"/>
    <w:multiLevelType w:val="multilevel"/>
    <w:tmpl w:val="EB92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D4450"/>
    <w:multiLevelType w:val="hybridMultilevel"/>
    <w:tmpl w:val="DF5E9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2700066"/>
    <w:multiLevelType w:val="hybridMultilevel"/>
    <w:tmpl w:val="E1481552"/>
    <w:lvl w:ilvl="0" w:tplc="4D42681E">
      <w:start w:val="1"/>
      <w:numFmt w:val="decimal"/>
      <w:lvlText w:val="%1)"/>
      <w:lvlJc w:val="left"/>
      <w:pPr>
        <w:ind w:left="1437" w:hanging="87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9"/>
  </w:num>
  <w:num w:numId="3">
    <w:abstractNumId w:val="7"/>
  </w:num>
  <w:num w:numId="4">
    <w:abstractNumId w:val="5"/>
  </w:num>
  <w:num w:numId="5">
    <w:abstractNumId w:val="4"/>
  </w:num>
  <w:num w:numId="6">
    <w:abstractNumId w:val="10"/>
  </w:num>
  <w:num w:numId="7">
    <w:abstractNumId w:val="1"/>
  </w:num>
  <w:num w:numId="8">
    <w:abstractNumId w:val="3"/>
  </w:num>
  <w:num w:numId="9">
    <w:abstractNumId w:val="6"/>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24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302993"/>
    <w:rsid w:val="00001EE8"/>
    <w:rsid w:val="000148F2"/>
    <w:rsid w:val="00014C0C"/>
    <w:rsid w:val="00015369"/>
    <w:rsid w:val="00017451"/>
    <w:rsid w:val="000254A5"/>
    <w:rsid w:val="00030EC6"/>
    <w:rsid w:val="000312D8"/>
    <w:rsid w:val="00034902"/>
    <w:rsid w:val="000402C8"/>
    <w:rsid w:val="000773FB"/>
    <w:rsid w:val="000A192C"/>
    <w:rsid w:val="000C56B4"/>
    <w:rsid w:val="000C75F0"/>
    <w:rsid w:val="000E0ED7"/>
    <w:rsid w:val="00110194"/>
    <w:rsid w:val="00114F0D"/>
    <w:rsid w:val="00130059"/>
    <w:rsid w:val="001365F3"/>
    <w:rsid w:val="001523B0"/>
    <w:rsid w:val="00165715"/>
    <w:rsid w:val="00186CAD"/>
    <w:rsid w:val="001A1E1A"/>
    <w:rsid w:val="001B3B87"/>
    <w:rsid w:val="001C563F"/>
    <w:rsid w:val="001C7DE0"/>
    <w:rsid w:val="001E1AE6"/>
    <w:rsid w:val="001E7B1F"/>
    <w:rsid w:val="002001B2"/>
    <w:rsid w:val="0022548D"/>
    <w:rsid w:val="0026009D"/>
    <w:rsid w:val="002722D2"/>
    <w:rsid w:val="00274832"/>
    <w:rsid w:val="002765D0"/>
    <w:rsid w:val="002A4C01"/>
    <w:rsid w:val="002B7889"/>
    <w:rsid w:val="002D0091"/>
    <w:rsid w:val="002D1276"/>
    <w:rsid w:val="002D47BB"/>
    <w:rsid w:val="002E382C"/>
    <w:rsid w:val="002F45FF"/>
    <w:rsid w:val="00302993"/>
    <w:rsid w:val="00304071"/>
    <w:rsid w:val="0031221C"/>
    <w:rsid w:val="003125FB"/>
    <w:rsid w:val="00315DBD"/>
    <w:rsid w:val="00320B31"/>
    <w:rsid w:val="00323865"/>
    <w:rsid w:val="00326E2C"/>
    <w:rsid w:val="003647D8"/>
    <w:rsid w:val="0037101F"/>
    <w:rsid w:val="003728E9"/>
    <w:rsid w:val="00381F24"/>
    <w:rsid w:val="003877C6"/>
    <w:rsid w:val="003D2B10"/>
    <w:rsid w:val="003D5F54"/>
    <w:rsid w:val="003D71BC"/>
    <w:rsid w:val="003D75E0"/>
    <w:rsid w:val="00407DAD"/>
    <w:rsid w:val="00454958"/>
    <w:rsid w:val="00471ACC"/>
    <w:rsid w:val="00481506"/>
    <w:rsid w:val="004A4635"/>
    <w:rsid w:val="004B29FE"/>
    <w:rsid w:val="004D2BBA"/>
    <w:rsid w:val="004F42CC"/>
    <w:rsid w:val="005011C1"/>
    <w:rsid w:val="005216C4"/>
    <w:rsid w:val="00536D1A"/>
    <w:rsid w:val="005372C4"/>
    <w:rsid w:val="00543348"/>
    <w:rsid w:val="00546728"/>
    <w:rsid w:val="00573487"/>
    <w:rsid w:val="0057487D"/>
    <w:rsid w:val="00584D36"/>
    <w:rsid w:val="005A02C1"/>
    <w:rsid w:val="005A46D5"/>
    <w:rsid w:val="005B0E19"/>
    <w:rsid w:val="005C2101"/>
    <w:rsid w:val="005D0A7C"/>
    <w:rsid w:val="005D23A9"/>
    <w:rsid w:val="005E689C"/>
    <w:rsid w:val="005E7BE0"/>
    <w:rsid w:val="00603A22"/>
    <w:rsid w:val="0061042A"/>
    <w:rsid w:val="00615B09"/>
    <w:rsid w:val="0062761D"/>
    <w:rsid w:val="006469E1"/>
    <w:rsid w:val="006500A1"/>
    <w:rsid w:val="00653902"/>
    <w:rsid w:val="00675869"/>
    <w:rsid w:val="00680E8E"/>
    <w:rsid w:val="00697CB4"/>
    <w:rsid w:val="006C7C43"/>
    <w:rsid w:val="006D07FC"/>
    <w:rsid w:val="006D4F3E"/>
    <w:rsid w:val="006E444C"/>
    <w:rsid w:val="006F0568"/>
    <w:rsid w:val="006F6AA0"/>
    <w:rsid w:val="007011EA"/>
    <w:rsid w:val="007038EC"/>
    <w:rsid w:val="00712DE7"/>
    <w:rsid w:val="007426D3"/>
    <w:rsid w:val="0075736E"/>
    <w:rsid w:val="00763ED1"/>
    <w:rsid w:val="0076645C"/>
    <w:rsid w:val="00766473"/>
    <w:rsid w:val="007741E3"/>
    <w:rsid w:val="0078161B"/>
    <w:rsid w:val="0078521F"/>
    <w:rsid w:val="00792C54"/>
    <w:rsid w:val="007B451B"/>
    <w:rsid w:val="007D62EE"/>
    <w:rsid w:val="007D7239"/>
    <w:rsid w:val="007F4233"/>
    <w:rsid w:val="00831C4B"/>
    <w:rsid w:val="008322BC"/>
    <w:rsid w:val="00836A47"/>
    <w:rsid w:val="00840B49"/>
    <w:rsid w:val="00852488"/>
    <w:rsid w:val="00877765"/>
    <w:rsid w:val="008819A4"/>
    <w:rsid w:val="00885620"/>
    <w:rsid w:val="008921BB"/>
    <w:rsid w:val="00893240"/>
    <w:rsid w:val="00896698"/>
    <w:rsid w:val="008C2739"/>
    <w:rsid w:val="008C3C87"/>
    <w:rsid w:val="008D1C0C"/>
    <w:rsid w:val="008E5F5C"/>
    <w:rsid w:val="008F6180"/>
    <w:rsid w:val="00915590"/>
    <w:rsid w:val="00916A46"/>
    <w:rsid w:val="00935BDF"/>
    <w:rsid w:val="00940586"/>
    <w:rsid w:val="00943079"/>
    <w:rsid w:val="00945CA7"/>
    <w:rsid w:val="00971A6C"/>
    <w:rsid w:val="009853A1"/>
    <w:rsid w:val="00994552"/>
    <w:rsid w:val="00995E9E"/>
    <w:rsid w:val="009A4144"/>
    <w:rsid w:val="009F386F"/>
    <w:rsid w:val="00A02A4F"/>
    <w:rsid w:val="00A131E9"/>
    <w:rsid w:val="00A31226"/>
    <w:rsid w:val="00A47D0B"/>
    <w:rsid w:val="00A52E7D"/>
    <w:rsid w:val="00A73CAD"/>
    <w:rsid w:val="00A74E47"/>
    <w:rsid w:val="00A753D4"/>
    <w:rsid w:val="00A87DCD"/>
    <w:rsid w:val="00A94D56"/>
    <w:rsid w:val="00AA3B55"/>
    <w:rsid w:val="00AA6E8F"/>
    <w:rsid w:val="00AC21B5"/>
    <w:rsid w:val="00AC2CC1"/>
    <w:rsid w:val="00AC6680"/>
    <w:rsid w:val="00AC6F84"/>
    <w:rsid w:val="00AD0E84"/>
    <w:rsid w:val="00AD4262"/>
    <w:rsid w:val="00AD56CD"/>
    <w:rsid w:val="00AD690F"/>
    <w:rsid w:val="00AE29C8"/>
    <w:rsid w:val="00AE3F59"/>
    <w:rsid w:val="00AF4339"/>
    <w:rsid w:val="00B22744"/>
    <w:rsid w:val="00B243EC"/>
    <w:rsid w:val="00B24938"/>
    <w:rsid w:val="00B267DC"/>
    <w:rsid w:val="00B416A6"/>
    <w:rsid w:val="00B609E8"/>
    <w:rsid w:val="00B65A08"/>
    <w:rsid w:val="00B65DA2"/>
    <w:rsid w:val="00B72B0C"/>
    <w:rsid w:val="00B73E4B"/>
    <w:rsid w:val="00B80809"/>
    <w:rsid w:val="00B8392D"/>
    <w:rsid w:val="00BA7898"/>
    <w:rsid w:val="00BB38E6"/>
    <w:rsid w:val="00BB7F87"/>
    <w:rsid w:val="00BE2493"/>
    <w:rsid w:val="00BF26D3"/>
    <w:rsid w:val="00C02E82"/>
    <w:rsid w:val="00C10A9B"/>
    <w:rsid w:val="00C14527"/>
    <w:rsid w:val="00C25476"/>
    <w:rsid w:val="00C550AD"/>
    <w:rsid w:val="00C67FE6"/>
    <w:rsid w:val="00CA1F19"/>
    <w:rsid w:val="00CA3FF2"/>
    <w:rsid w:val="00CB65F6"/>
    <w:rsid w:val="00CF2E6B"/>
    <w:rsid w:val="00CF4A74"/>
    <w:rsid w:val="00D06E7D"/>
    <w:rsid w:val="00D20470"/>
    <w:rsid w:val="00D2153E"/>
    <w:rsid w:val="00D22BFF"/>
    <w:rsid w:val="00D30284"/>
    <w:rsid w:val="00D3461B"/>
    <w:rsid w:val="00D4327F"/>
    <w:rsid w:val="00D57D44"/>
    <w:rsid w:val="00D61034"/>
    <w:rsid w:val="00D62251"/>
    <w:rsid w:val="00D63F46"/>
    <w:rsid w:val="00D80A61"/>
    <w:rsid w:val="00D9078F"/>
    <w:rsid w:val="00DB583D"/>
    <w:rsid w:val="00DB58C1"/>
    <w:rsid w:val="00DC7CF1"/>
    <w:rsid w:val="00DC7E85"/>
    <w:rsid w:val="00DD6C36"/>
    <w:rsid w:val="00DE0BCC"/>
    <w:rsid w:val="00DE684E"/>
    <w:rsid w:val="00DF16F6"/>
    <w:rsid w:val="00DF5402"/>
    <w:rsid w:val="00E00760"/>
    <w:rsid w:val="00E03E84"/>
    <w:rsid w:val="00E06A3A"/>
    <w:rsid w:val="00E13739"/>
    <w:rsid w:val="00E16A14"/>
    <w:rsid w:val="00E33EB2"/>
    <w:rsid w:val="00E41577"/>
    <w:rsid w:val="00E7153A"/>
    <w:rsid w:val="00E73D05"/>
    <w:rsid w:val="00E74052"/>
    <w:rsid w:val="00E75261"/>
    <w:rsid w:val="00E8742C"/>
    <w:rsid w:val="00E96720"/>
    <w:rsid w:val="00EB28F7"/>
    <w:rsid w:val="00EB36D0"/>
    <w:rsid w:val="00EC25F7"/>
    <w:rsid w:val="00F01D18"/>
    <w:rsid w:val="00F038BC"/>
    <w:rsid w:val="00F03C7D"/>
    <w:rsid w:val="00F10DE4"/>
    <w:rsid w:val="00F16D2A"/>
    <w:rsid w:val="00F20375"/>
    <w:rsid w:val="00F2163B"/>
    <w:rsid w:val="00F2674C"/>
    <w:rsid w:val="00F458B2"/>
    <w:rsid w:val="00F476F1"/>
    <w:rsid w:val="00F47902"/>
    <w:rsid w:val="00F838E6"/>
    <w:rsid w:val="00F84CD4"/>
    <w:rsid w:val="00F973A0"/>
    <w:rsid w:val="00FB5F32"/>
    <w:rsid w:val="00FC30D3"/>
    <w:rsid w:val="00FD1E05"/>
    <w:rsid w:val="00FE628E"/>
    <w:rsid w:val="00FF2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B0"/>
    <w:pPr>
      <w:suppressAutoHyphens/>
    </w:pPr>
    <w:rPr>
      <w:sz w:val="24"/>
      <w:szCs w:val="24"/>
      <w:lang w:eastAsia="zh-CN"/>
    </w:rPr>
  </w:style>
  <w:style w:type="paragraph" w:styleId="1">
    <w:name w:val="heading 1"/>
    <w:basedOn w:val="a"/>
    <w:next w:val="a"/>
    <w:qFormat/>
    <w:rsid w:val="001523B0"/>
    <w:pPr>
      <w:keepNext/>
      <w:numPr>
        <w:numId w:val="1"/>
      </w:numPr>
      <w:outlineLvl w:val="0"/>
    </w:pPr>
    <w:rPr>
      <w:b/>
      <w:sz w:val="20"/>
      <w:szCs w:val="20"/>
    </w:rPr>
  </w:style>
  <w:style w:type="paragraph" w:styleId="2">
    <w:name w:val="heading 2"/>
    <w:basedOn w:val="a"/>
    <w:next w:val="a"/>
    <w:qFormat/>
    <w:rsid w:val="001523B0"/>
    <w:pPr>
      <w:keepNext/>
      <w:numPr>
        <w:ilvl w:val="1"/>
        <w:numId w:val="1"/>
      </w:numPr>
      <w:jc w:val="center"/>
      <w:outlineLvl w:val="1"/>
    </w:pPr>
    <w:rPr>
      <w:rFonts w:ascii="Arial" w:hAnsi="Arial" w:cs="Arial"/>
      <w:b/>
      <w:szCs w:val="20"/>
    </w:rPr>
  </w:style>
  <w:style w:type="paragraph" w:styleId="4">
    <w:name w:val="heading 4"/>
    <w:basedOn w:val="a"/>
    <w:next w:val="a"/>
    <w:qFormat/>
    <w:rsid w:val="001523B0"/>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523B0"/>
  </w:style>
  <w:style w:type="character" w:customStyle="1" w:styleId="WW-Absatz-Standardschriftart">
    <w:name w:val="WW-Absatz-Standardschriftart"/>
    <w:rsid w:val="001523B0"/>
  </w:style>
  <w:style w:type="character" w:customStyle="1" w:styleId="WW-Absatz-Standardschriftart1">
    <w:name w:val="WW-Absatz-Standardschriftart1"/>
    <w:rsid w:val="001523B0"/>
  </w:style>
  <w:style w:type="character" w:customStyle="1" w:styleId="WW-Absatz-Standardschriftart11">
    <w:name w:val="WW-Absatz-Standardschriftart11"/>
    <w:rsid w:val="001523B0"/>
  </w:style>
  <w:style w:type="character" w:customStyle="1" w:styleId="WW-Absatz-Standardschriftart111">
    <w:name w:val="WW-Absatz-Standardschriftart111"/>
    <w:rsid w:val="001523B0"/>
  </w:style>
  <w:style w:type="character" w:customStyle="1" w:styleId="WW-Absatz-Standardschriftart1111">
    <w:name w:val="WW-Absatz-Standardschriftart1111"/>
    <w:rsid w:val="001523B0"/>
  </w:style>
  <w:style w:type="character" w:customStyle="1" w:styleId="WW-Absatz-Standardschriftart11111">
    <w:name w:val="WW-Absatz-Standardschriftart11111"/>
    <w:rsid w:val="001523B0"/>
  </w:style>
  <w:style w:type="character" w:customStyle="1" w:styleId="WW8Num1z0">
    <w:name w:val="WW8Num1z0"/>
    <w:rsid w:val="001523B0"/>
    <w:rPr>
      <w:rFonts w:ascii="Symbol" w:hAnsi="Symbol" w:cs="Symbol"/>
      <w:sz w:val="20"/>
    </w:rPr>
  </w:style>
  <w:style w:type="character" w:customStyle="1" w:styleId="WW8Num1z1">
    <w:name w:val="WW8Num1z1"/>
    <w:rsid w:val="001523B0"/>
    <w:rPr>
      <w:rFonts w:ascii="Courier New" w:hAnsi="Courier New" w:cs="Courier New"/>
      <w:sz w:val="20"/>
    </w:rPr>
  </w:style>
  <w:style w:type="character" w:customStyle="1" w:styleId="WW8Num1z2">
    <w:name w:val="WW8Num1z2"/>
    <w:rsid w:val="001523B0"/>
    <w:rPr>
      <w:rFonts w:ascii="Wingdings" w:hAnsi="Wingdings" w:cs="Wingdings"/>
      <w:sz w:val="20"/>
    </w:rPr>
  </w:style>
  <w:style w:type="character" w:customStyle="1" w:styleId="WW8Num2z0">
    <w:name w:val="WW8Num2z0"/>
    <w:rsid w:val="001523B0"/>
    <w:rPr>
      <w:rFonts w:ascii="Symbol" w:hAnsi="Symbol" w:cs="Symbol"/>
      <w:sz w:val="20"/>
    </w:rPr>
  </w:style>
  <w:style w:type="character" w:customStyle="1" w:styleId="WW8Num2z1">
    <w:name w:val="WW8Num2z1"/>
    <w:rsid w:val="001523B0"/>
    <w:rPr>
      <w:rFonts w:ascii="Courier New" w:hAnsi="Courier New" w:cs="Courier New"/>
      <w:sz w:val="20"/>
    </w:rPr>
  </w:style>
  <w:style w:type="character" w:customStyle="1" w:styleId="WW8Num2z2">
    <w:name w:val="WW8Num2z2"/>
    <w:rsid w:val="001523B0"/>
    <w:rPr>
      <w:rFonts w:ascii="Wingdings" w:hAnsi="Wingdings" w:cs="Wingdings"/>
      <w:sz w:val="20"/>
    </w:rPr>
  </w:style>
  <w:style w:type="character" w:customStyle="1" w:styleId="WW8Num3z0">
    <w:name w:val="WW8Num3z0"/>
    <w:rsid w:val="001523B0"/>
    <w:rPr>
      <w:rFonts w:ascii="Symbol" w:hAnsi="Symbol" w:cs="Symbol"/>
    </w:rPr>
  </w:style>
  <w:style w:type="character" w:customStyle="1" w:styleId="WW8Num3z1">
    <w:name w:val="WW8Num3z1"/>
    <w:rsid w:val="001523B0"/>
    <w:rPr>
      <w:rFonts w:ascii="Courier New" w:hAnsi="Courier New" w:cs="Courier New"/>
    </w:rPr>
  </w:style>
  <w:style w:type="character" w:customStyle="1" w:styleId="WW8Num3z2">
    <w:name w:val="WW8Num3z2"/>
    <w:rsid w:val="001523B0"/>
    <w:rPr>
      <w:rFonts w:ascii="Wingdings" w:hAnsi="Wingdings" w:cs="Wingdings"/>
    </w:rPr>
  </w:style>
  <w:style w:type="character" w:customStyle="1" w:styleId="WW8Num4z0">
    <w:name w:val="WW8Num4z0"/>
    <w:rsid w:val="001523B0"/>
    <w:rPr>
      <w:rFonts w:ascii="Symbol" w:hAnsi="Symbol" w:cs="Symbol"/>
      <w:sz w:val="20"/>
    </w:rPr>
  </w:style>
  <w:style w:type="character" w:customStyle="1" w:styleId="WW8Num4z1">
    <w:name w:val="WW8Num4z1"/>
    <w:rsid w:val="001523B0"/>
    <w:rPr>
      <w:rFonts w:ascii="Courier New" w:hAnsi="Courier New" w:cs="Courier New"/>
      <w:sz w:val="20"/>
    </w:rPr>
  </w:style>
  <w:style w:type="character" w:customStyle="1" w:styleId="WW8Num4z2">
    <w:name w:val="WW8Num4z2"/>
    <w:rsid w:val="001523B0"/>
    <w:rPr>
      <w:rFonts w:ascii="Wingdings" w:hAnsi="Wingdings" w:cs="Wingdings"/>
      <w:sz w:val="20"/>
    </w:rPr>
  </w:style>
  <w:style w:type="character" w:customStyle="1" w:styleId="WW8Num5z0">
    <w:name w:val="WW8Num5z0"/>
    <w:rsid w:val="001523B0"/>
    <w:rPr>
      <w:rFonts w:ascii="Symbol" w:hAnsi="Symbol" w:cs="Symbol"/>
      <w:sz w:val="20"/>
    </w:rPr>
  </w:style>
  <w:style w:type="character" w:customStyle="1" w:styleId="WW8Num5z1">
    <w:name w:val="WW8Num5z1"/>
    <w:rsid w:val="001523B0"/>
    <w:rPr>
      <w:rFonts w:ascii="Courier New" w:hAnsi="Courier New" w:cs="Courier New"/>
      <w:sz w:val="20"/>
    </w:rPr>
  </w:style>
  <w:style w:type="character" w:customStyle="1" w:styleId="WW8Num5z2">
    <w:name w:val="WW8Num5z2"/>
    <w:rsid w:val="001523B0"/>
    <w:rPr>
      <w:rFonts w:ascii="Wingdings" w:hAnsi="Wingdings" w:cs="Wingdings"/>
      <w:sz w:val="20"/>
    </w:rPr>
  </w:style>
  <w:style w:type="character" w:customStyle="1" w:styleId="WW8Num6z0">
    <w:name w:val="WW8Num6z0"/>
    <w:rsid w:val="001523B0"/>
    <w:rPr>
      <w:rFonts w:ascii="Symbol" w:hAnsi="Symbol" w:cs="Symbol"/>
      <w:sz w:val="20"/>
    </w:rPr>
  </w:style>
  <w:style w:type="character" w:customStyle="1" w:styleId="WW8Num6z1">
    <w:name w:val="WW8Num6z1"/>
    <w:rsid w:val="001523B0"/>
    <w:rPr>
      <w:rFonts w:ascii="Courier New" w:hAnsi="Courier New" w:cs="Courier New"/>
      <w:sz w:val="20"/>
    </w:rPr>
  </w:style>
  <w:style w:type="character" w:customStyle="1" w:styleId="WW8Num6z2">
    <w:name w:val="WW8Num6z2"/>
    <w:rsid w:val="001523B0"/>
    <w:rPr>
      <w:rFonts w:ascii="Wingdings" w:hAnsi="Wingdings" w:cs="Wingdings"/>
      <w:sz w:val="20"/>
    </w:rPr>
  </w:style>
  <w:style w:type="character" w:customStyle="1" w:styleId="WW8Num7z0">
    <w:name w:val="WW8Num7z0"/>
    <w:rsid w:val="001523B0"/>
    <w:rPr>
      <w:rFonts w:ascii="Symbol" w:hAnsi="Symbol" w:cs="Symbol"/>
    </w:rPr>
  </w:style>
  <w:style w:type="character" w:customStyle="1" w:styleId="WW8Num7z1">
    <w:name w:val="WW8Num7z1"/>
    <w:rsid w:val="001523B0"/>
    <w:rPr>
      <w:rFonts w:ascii="Courier New" w:hAnsi="Courier New" w:cs="Courier New"/>
    </w:rPr>
  </w:style>
  <w:style w:type="character" w:customStyle="1" w:styleId="WW8Num7z2">
    <w:name w:val="WW8Num7z2"/>
    <w:rsid w:val="001523B0"/>
    <w:rPr>
      <w:rFonts w:ascii="Wingdings" w:hAnsi="Wingdings" w:cs="Wingdings"/>
    </w:rPr>
  </w:style>
  <w:style w:type="character" w:customStyle="1" w:styleId="WW8Num8z0">
    <w:name w:val="WW8Num8z0"/>
    <w:rsid w:val="001523B0"/>
    <w:rPr>
      <w:rFonts w:ascii="Symbol" w:hAnsi="Symbol" w:cs="Symbol"/>
    </w:rPr>
  </w:style>
  <w:style w:type="character" w:customStyle="1" w:styleId="WW8Num8z1">
    <w:name w:val="WW8Num8z1"/>
    <w:rsid w:val="001523B0"/>
    <w:rPr>
      <w:rFonts w:ascii="Courier New" w:hAnsi="Courier New" w:cs="Courier New"/>
    </w:rPr>
  </w:style>
  <w:style w:type="character" w:customStyle="1" w:styleId="WW8Num8z2">
    <w:name w:val="WW8Num8z2"/>
    <w:rsid w:val="001523B0"/>
    <w:rPr>
      <w:rFonts w:ascii="Wingdings" w:hAnsi="Wingdings" w:cs="Wingdings"/>
    </w:rPr>
  </w:style>
  <w:style w:type="character" w:customStyle="1" w:styleId="WW8Num9z0">
    <w:name w:val="WW8Num9z0"/>
    <w:rsid w:val="001523B0"/>
    <w:rPr>
      <w:rFonts w:ascii="Symbol" w:hAnsi="Symbol" w:cs="Symbol"/>
      <w:sz w:val="20"/>
    </w:rPr>
  </w:style>
  <w:style w:type="character" w:customStyle="1" w:styleId="WW8Num9z1">
    <w:name w:val="WW8Num9z1"/>
    <w:rsid w:val="001523B0"/>
    <w:rPr>
      <w:rFonts w:ascii="Courier New" w:hAnsi="Courier New" w:cs="Courier New"/>
      <w:sz w:val="20"/>
    </w:rPr>
  </w:style>
  <w:style w:type="character" w:customStyle="1" w:styleId="WW8Num9z2">
    <w:name w:val="WW8Num9z2"/>
    <w:rsid w:val="001523B0"/>
    <w:rPr>
      <w:rFonts w:ascii="Wingdings" w:hAnsi="Wingdings" w:cs="Wingdings"/>
      <w:sz w:val="20"/>
    </w:rPr>
  </w:style>
  <w:style w:type="character" w:customStyle="1" w:styleId="WW8Num10z0">
    <w:name w:val="WW8Num10z0"/>
    <w:rsid w:val="001523B0"/>
    <w:rPr>
      <w:rFonts w:ascii="Symbol" w:hAnsi="Symbol" w:cs="Symbol"/>
      <w:sz w:val="20"/>
    </w:rPr>
  </w:style>
  <w:style w:type="character" w:customStyle="1" w:styleId="WW8Num10z1">
    <w:name w:val="WW8Num10z1"/>
    <w:rsid w:val="001523B0"/>
    <w:rPr>
      <w:rFonts w:ascii="Courier New" w:hAnsi="Courier New" w:cs="Courier New"/>
      <w:sz w:val="20"/>
    </w:rPr>
  </w:style>
  <w:style w:type="character" w:customStyle="1" w:styleId="WW8Num10z2">
    <w:name w:val="WW8Num10z2"/>
    <w:rsid w:val="001523B0"/>
    <w:rPr>
      <w:rFonts w:ascii="Wingdings" w:hAnsi="Wingdings" w:cs="Wingdings"/>
      <w:sz w:val="20"/>
    </w:rPr>
  </w:style>
  <w:style w:type="character" w:customStyle="1" w:styleId="WW8Num11z0">
    <w:name w:val="WW8Num11z0"/>
    <w:rsid w:val="001523B0"/>
    <w:rPr>
      <w:rFonts w:ascii="Symbol" w:hAnsi="Symbol" w:cs="Symbol"/>
      <w:sz w:val="20"/>
    </w:rPr>
  </w:style>
  <w:style w:type="character" w:customStyle="1" w:styleId="WW8Num11z1">
    <w:name w:val="WW8Num11z1"/>
    <w:rsid w:val="001523B0"/>
    <w:rPr>
      <w:rFonts w:ascii="Courier New" w:hAnsi="Courier New" w:cs="Courier New"/>
      <w:sz w:val="20"/>
    </w:rPr>
  </w:style>
  <w:style w:type="character" w:customStyle="1" w:styleId="WW8Num11z2">
    <w:name w:val="WW8Num11z2"/>
    <w:rsid w:val="001523B0"/>
    <w:rPr>
      <w:rFonts w:ascii="Wingdings" w:hAnsi="Wingdings" w:cs="Wingdings"/>
      <w:sz w:val="20"/>
    </w:rPr>
  </w:style>
  <w:style w:type="character" w:customStyle="1" w:styleId="WW8Num12z0">
    <w:name w:val="WW8Num12z0"/>
    <w:rsid w:val="001523B0"/>
    <w:rPr>
      <w:rFonts w:ascii="Symbol" w:hAnsi="Symbol" w:cs="Symbol"/>
    </w:rPr>
  </w:style>
  <w:style w:type="character" w:customStyle="1" w:styleId="WW8Num12z1">
    <w:name w:val="WW8Num12z1"/>
    <w:rsid w:val="001523B0"/>
    <w:rPr>
      <w:rFonts w:ascii="Courier New" w:hAnsi="Courier New" w:cs="Courier New"/>
    </w:rPr>
  </w:style>
  <w:style w:type="character" w:customStyle="1" w:styleId="WW8Num12z2">
    <w:name w:val="WW8Num12z2"/>
    <w:rsid w:val="001523B0"/>
    <w:rPr>
      <w:rFonts w:ascii="Wingdings" w:hAnsi="Wingdings" w:cs="Wingdings"/>
    </w:rPr>
  </w:style>
  <w:style w:type="character" w:customStyle="1" w:styleId="WW8Num13z0">
    <w:name w:val="WW8Num13z0"/>
    <w:rsid w:val="001523B0"/>
    <w:rPr>
      <w:rFonts w:ascii="Symbol" w:hAnsi="Symbol" w:cs="Symbol"/>
      <w:sz w:val="20"/>
    </w:rPr>
  </w:style>
  <w:style w:type="character" w:customStyle="1" w:styleId="WW8Num13z1">
    <w:name w:val="WW8Num13z1"/>
    <w:rsid w:val="001523B0"/>
    <w:rPr>
      <w:rFonts w:ascii="Courier New" w:hAnsi="Courier New" w:cs="Courier New"/>
      <w:sz w:val="20"/>
    </w:rPr>
  </w:style>
  <w:style w:type="character" w:customStyle="1" w:styleId="WW8Num13z2">
    <w:name w:val="WW8Num13z2"/>
    <w:rsid w:val="001523B0"/>
    <w:rPr>
      <w:rFonts w:ascii="Wingdings" w:hAnsi="Wingdings" w:cs="Wingdings"/>
      <w:sz w:val="20"/>
    </w:rPr>
  </w:style>
  <w:style w:type="character" w:customStyle="1" w:styleId="WW8Num14z0">
    <w:name w:val="WW8Num14z0"/>
    <w:rsid w:val="001523B0"/>
    <w:rPr>
      <w:rFonts w:ascii="Symbol" w:hAnsi="Symbol" w:cs="Symbol"/>
    </w:rPr>
  </w:style>
  <w:style w:type="character" w:customStyle="1" w:styleId="WW8Num14z1">
    <w:name w:val="WW8Num14z1"/>
    <w:rsid w:val="001523B0"/>
    <w:rPr>
      <w:rFonts w:ascii="Courier New" w:hAnsi="Courier New" w:cs="Courier New"/>
    </w:rPr>
  </w:style>
  <w:style w:type="character" w:customStyle="1" w:styleId="WW8Num14z2">
    <w:name w:val="WW8Num14z2"/>
    <w:rsid w:val="001523B0"/>
    <w:rPr>
      <w:rFonts w:ascii="Wingdings" w:hAnsi="Wingdings" w:cs="Wingdings"/>
    </w:rPr>
  </w:style>
  <w:style w:type="character" w:customStyle="1" w:styleId="WW8Num15z0">
    <w:name w:val="WW8Num15z0"/>
    <w:rsid w:val="001523B0"/>
    <w:rPr>
      <w:rFonts w:ascii="Symbol" w:hAnsi="Symbol" w:cs="Symbol"/>
      <w:sz w:val="20"/>
    </w:rPr>
  </w:style>
  <w:style w:type="character" w:customStyle="1" w:styleId="WW8Num15z1">
    <w:name w:val="WW8Num15z1"/>
    <w:rsid w:val="001523B0"/>
    <w:rPr>
      <w:rFonts w:ascii="Courier New" w:hAnsi="Courier New" w:cs="Courier New"/>
      <w:sz w:val="20"/>
    </w:rPr>
  </w:style>
  <w:style w:type="character" w:customStyle="1" w:styleId="WW8Num15z2">
    <w:name w:val="WW8Num15z2"/>
    <w:rsid w:val="001523B0"/>
    <w:rPr>
      <w:rFonts w:ascii="Wingdings" w:hAnsi="Wingdings" w:cs="Wingdings"/>
      <w:sz w:val="20"/>
    </w:rPr>
  </w:style>
  <w:style w:type="character" w:customStyle="1" w:styleId="WW8Num16z0">
    <w:name w:val="WW8Num16z0"/>
    <w:rsid w:val="001523B0"/>
    <w:rPr>
      <w:rFonts w:ascii="Symbol" w:hAnsi="Symbol" w:cs="Symbol"/>
      <w:sz w:val="20"/>
    </w:rPr>
  </w:style>
  <w:style w:type="character" w:customStyle="1" w:styleId="WW8Num16z1">
    <w:name w:val="WW8Num16z1"/>
    <w:rsid w:val="001523B0"/>
    <w:rPr>
      <w:rFonts w:ascii="Courier New" w:hAnsi="Courier New" w:cs="Courier New"/>
      <w:sz w:val="20"/>
    </w:rPr>
  </w:style>
  <w:style w:type="character" w:customStyle="1" w:styleId="WW8Num16z2">
    <w:name w:val="WW8Num16z2"/>
    <w:rsid w:val="001523B0"/>
    <w:rPr>
      <w:rFonts w:ascii="Wingdings" w:hAnsi="Wingdings" w:cs="Wingdings"/>
      <w:sz w:val="20"/>
    </w:rPr>
  </w:style>
  <w:style w:type="character" w:customStyle="1" w:styleId="WW8Num17z0">
    <w:name w:val="WW8Num17z0"/>
    <w:rsid w:val="001523B0"/>
    <w:rPr>
      <w:rFonts w:ascii="Symbol" w:hAnsi="Symbol" w:cs="Symbol"/>
      <w:sz w:val="20"/>
    </w:rPr>
  </w:style>
  <w:style w:type="character" w:customStyle="1" w:styleId="WW8Num17z1">
    <w:name w:val="WW8Num17z1"/>
    <w:rsid w:val="001523B0"/>
    <w:rPr>
      <w:rFonts w:ascii="Courier New" w:hAnsi="Courier New" w:cs="Courier New"/>
      <w:sz w:val="20"/>
    </w:rPr>
  </w:style>
  <w:style w:type="character" w:customStyle="1" w:styleId="WW8Num17z2">
    <w:name w:val="WW8Num17z2"/>
    <w:rsid w:val="001523B0"/>
    <w:rPr>
      <w:rFonts w:ascii="Wingdings" w:hAnsi="Wingdings" w:cs="Wingdings"/>
      <w:sz w:val="20"/>
    </w:rPr>
  </w:style>
  <w:style w:type="character" w:customStyle="1" w:styleId="WW8Num18z0">
    <w:name w:val="WW8Num18z0"/>
    <w:rsid w:val="001523B0"/>
    <w:rPr>
      <w:rFonts w:ascii="Symbol" w:hAnsi="Symbol" w:cs="Symbol"/>
    </w:rPr>
  </w:style>
  <w:style w:type="character" w:customStyle="1" w:styleId="WW8Num18z1">
    <w:name w:val="WW8Num18z1"/>
    <w:rsid w:val="001523B0"/>
    <w:rPr>
      <w:rFonts w:ascii="Courier New" w:hAnsi="Courier New" w:cs="Courier New"/>
    </w:rPr>
  </w:style>
  <w:style w:type="character" w:customStyle="1" w:styleId="WW8Num18z2">
    <w:name w:val="WW8Num18z2"/>
    <w:rsid w:val="001523B0"/>
    <w:rPr>
      <w:rFonts w:ascii="Wingdings" w:hAnsi="Wingdings" w:cs="Wingdings"/>
    </w:rPr>
  </w:style>
  <w:style w:type="character" w:customStyle="1" w:styleId="WW8Num19z0">
    <w:name w:val="WW8Num19z0"/>
    <w:rsid w:val="001523B0"/>
    <w:rPr>
      <w:rFonts w:ascii="Symbol" w:hAnsi="Symbol" w:cs="Symbol"/>
      <w:sz w:val="20"/>
    </w:rPr>
  </w:style>
  <w:style w:type="character" w:customStyle="1" w:styleId="WW8Num19z1">
    <w:name w:val="WW8Num19z1"/>
    <w:rsid w:val="001523B0"/>
    <w:rPr>
      <w:rFonts w:ascii="Courier New" w:hAnsi="Courier New" w:cs="Courier New"/>
      <w:sz w:val="20"/>
    </w:rPr>
  </w:style>
  <w:style w:type="character" w:customStyle="1" w:styleId="WW8Num19z2">
    <w:name w:val="WW8Num19z2"/>
    <w:rsid w:val="001523B0"/>
    <w:rPr>
      <w:rFonts w:ascii="Wingdings" w:hAnsi="Wingdings" w:cs="Wingdings"/>
      <w:sz w:val="20"/>
    </w:rPr>
  </w:style>
  <w:style w:type="character" w:customStyle="1" w:styleId="WW8Num20z0">
    <w:name w:val="WW8Num20z0"/>
    <w:rsid w:val="001523B0"/>
    <w:rPr>
      <w:rFonts w:ascii="Symbol" w:hAnsi="Symbol" w:cs="Symbol"/>
      <w:sz w:val="20"/>
    </w:rPr>
  </w:style>
  <w:style w:type="character" w:customStyle="1" w:styleId="WW8Num20z1">
    <w:name w:val="WW8Num20z1"/>
    <w:rsid w:val="001523B0"/>
    <w:rPr>
      <w:rFonts w:ascii="Courier New" w:hAnsi="Courier New" w:cs="Courier New"/>
      <w:sz w:val="20"/>
    </w:rPr>
  </w:style>
  <w:style w:type="character" w:customStyle="1" w:styleId="WW8Num20z2">
    <w:name w:val="WW8Num20z2"/>
    <w:rsid w:val="001523B0"/>
    <w:rPr>
      <w:rFonts w:ascii="Wingdings" w:hAnsi="Wingdings" w:cs="Wingdings"/>
      <w:sz w:val="20"/>
    </w:rPr>
  </w:style>
  <w:style w:type="character" w:customStyle="1" w:styleId="WW8Num21z0">
    <w:name w:val="WW8Num21z0"/>
    <w:rsid w:val="001523B0"/>
    <w:rPr>
      <w:rFonts w:ascii="Symbol" w:hAnsi="Symbol" w:cs="Symbol"/>
      <w:sz w:val="20"/>
    </w:rPr>
  </w:style>
  <w:style w:type="character" w:customStyle="1" w:styleId="WW8Num21z1">
    <w:name w:val="WW8Num21z1"/>
    <w:rsid w:val="001523B0"/>
    <w:rPr>
      <w:rFonts w:ascii="Courier New" w:hAnsi="Courier New" w:cs="Courier New"/>
      <w:sz w:val="20"/>
    </w:rPr>
  </w:style>
  <w:style w:type="character" w:customStyle="1" w:styleId="WW8Num21z2">
    <w:name w:val="WW8Num21z2"/>
    <w:rsid w:val="001523B0"/>
    <w:rPr>
      <w:rFonts w:ascii="Wingdings" w:hAnsi="Wingdings" w:cs="Wingdings"/>
      <w:sz w:val="20"/>
    </w:rPr>
  </w:style>
  <w:style w:type="character" w:customStyle="1" w:styleId="WW8Num22z0">
    <w:name w:val="WW8Num22z0"/>
    <w:rsid w:val="001523B0"/>
    <w:rPr>
      <w:rFonts w:ascii="Symbol" w:hAnsi="Symbol" w:cs="Symbol"/>
    </w:rPr>
  </w:style>
  <w:style w:type="character" w:customStyle="1" w:styleId="WW8Num22z1">
    <w:name w:val="WW8Num22z1"/>
    <w:rsid w:val="001523B0"/>
    <w:rPr>
      <w:rFonts w:ascii="Courier New" w:hAnsi="Courier New" w:cs="Courier New"/>
    </w:rPr>
  </w:style>
  <w:style w:type="character" w:customStyle="1" w:styleId="WW8Num22z2">
    <w:name w:val="WW8Num22z2"/>
    <w:rsid w:val="001523B0"/>
    <w:rPr>
      <w:rFonts w:ascii="Wingdings" w:hAnsi="Wingdings" w:cs="Wingdings"/>
    </w:rPr>
  </w:style>
  <w:style w:type="character" w:customStyle="1" w:styleId="WW8Num23z0">
    <w:name w:val="WW8Num23z0"/>
    <w:rsid w:val="001523B0"/>
    <w:rPr>
      <w:rFonts w:ascii="Symbol" w:hAnsi="Symbol" w:cs="Symbol"/>
      <w:sz w:val="20"/>
    </w:rPr>
  </w:style>
  <w:style w:type="character" w:customStyle="1" w:styleId="WW8Num23z1">
    <w:name w:val="WW8Num23z1"/>
    <w:rsid w:val="001523B0"/>
    <w:rPr>
      <w:rFonts w:ascii="Courier New" w:hAnsi="Courier New" w:cs="Courier New"/>
      <w:sz w:val="20"/>
    </w:rPr>
  </w:style>
  <w:style w:type="character" w:customStyle="1" w:styleId="WW8Num23z2">
    <w:name w:val="WW8Num23z2"/>
    <w:rsid w:val="001523B0"/>
    <w:rPr>
      <w:rFonts w:ascii="Wingdings" w:hAnsi="Wingdings" w:cs="Wingdings"/>
      <w:sz w:val="20"/>
    </w:rPr>
  </w:style>
  <w:style w:type="character" w:customStyle="1" w:styleId="WW8Num24z0">
    <w:name w:val="WW8Num24z0"/>
    <w:rsid w:val="001523B0"/>
    <w:rPr>
      <w:rFonts w:ascii="Symbol" w:hAnsi="Symbol" w:cs="Symbol"/>
      <w:sz w:val="20"/>
    </w:rPr>
  </w:style>
  <w:style w:type="character" w:customStyle="1" w:styleId="WW8Num24z1">
    <w:name w:val="WW8Num24z1"/>
    <w:rsid w:val="001523B0"/>
    <w:rPr>
      <w:rFonts w:ascii="Courier New" w:hAnsi="Courier New" w:cs="Courier New"/>
      <w:sz w:val="20"/>
    </w:rPr>
  </w:style>
  <w:style w:type="character" w:customStyle="1" w:styleId="WW8Num24z2">
    <w:name w:val="WW8Num24z2"/>
    <w:rsid w:val="001523B0"/>
    <w:rPr>
      <w:rFonts w:ascii="Wingdings" w:hAnsi="Wingdings" w:cs="Wingdings"/>
      <w:sz w:val="20"/>
    </w:rPr>
  </w:style>
  <w:style w:type="character" w:customStyle="1" w:styleId="WW8Num25z0">
    <w:name w:val="WW8Num25z0"/>
    <w:rsid w:val="001523B0"/>
    <w:rPr>
      <w:rFonts w:ascii="Symbol" w:hAnsi="Symbol" w:cs="Symbol"/>
    </w:rPr>
  </w:style>
  <w:style w:type="character" w:customStyle="1" w:styleId="WW8Num25z1">
    <w:name w:val="WW8Num25z1"/>
    <w:rsid w:val="001523B0"/>
    <w:rPr>
      <w:rFonts w:ascii="Courier New" w:hAnsi="Courier New" w:cs="Courier New"/>
    </w:rPr>
  </w:style>
  <w:style w:type="character" w:customStyle="1" w:styleId="WW8Num25z2">
    <w:name w:val="WW8Num25z2"/>
    <w:rsid w:val="001523B0"/>
    <w:rPr>
      <w:rFonts w:ascii="Wingdings" w:hAnsi="Wingdings" w:cs="Wingdings"/>
    </w:rPr>
  </w:style>
  <w:style w:type="character" w:customStyle="1" w:styleId="WW8Num26z0">
    <w:name w:val="WW8Num26z0"/>
    <w:rsid w:val="001523B0"/>
    <w:rPr>
      <w:rFonts w:ascii="Symbol" w:hAnsi="Symbol" w:cs="Symbol"/>
    </w:rPr>
  </w:style>
  <w:style w:type="character" w:customStyle="1" w:styleId="WW8Num26z1">
    <w:name w:val="WW8Num26z1"/>
    <w:rsid w:val="001523B0"/>
    <w:rPr>
      <w:rFonts w:ascii="Courier New" w:hAnsi="Courier New" w:cs="Courier New"/>
    </w:rPr>
  </w:style>
  <w:style w:type="character" w:customStyle="1" w:styleId="WW8Num26z2">
    <w:name w:val="WW8Num26z2"/>
    <w:rsid w:val="001523B0"/>
    <w:rPr>
      <w:rFonts w:ascii="Wingdings" w:hAnsi="Wingdings" w:cs="Wingdings"/>
    </w:rPr>
  </w:style>
  <w:style w:type="character" w:customStyle="1" w:styleId="WW8Num27z0">
    <w:name w:val="WW8Num27z0"/>
    <w:rsid w:val="001523B0"/>
    <w:rPr>
      <w:rFonts w:ascii="Symbol" w:hAnsi="Symbol" w:cs="Symbol"/>
      <w:sz w:val="20"/>
    </w:rPr>
  </w:style>
  <w:style w:type="character" w:customStyle="1" w:styleId="WW8Num27z1">
    <w:name w:val="WW8Num27z1"/>
    <w:rsid w:val="001523B0"/>
    <w:rPr>
      <w:rFonts w:ascii="Courier New" w:hAnsi="Courier New" w:cs="Courier New"/>
      <w:sz w:val="20"/>
    </w:rPr>
  </w:style>
  <w:style w:type="character" w:customStyle="1" w:styleId="WW8Num27z2">
    <w:name w:val="WW8Num27z2"/>
    <w:rsid w:val="001523B0"/>
    <w:rPr>
      <w:rFonts w:ascii="Wingdings" w:hAnsi="Wingdings" w:cs="Wingdings"/>
      <w:sz w:val="20"/>
    </w:rPr>
  </w:style>
  <w:style w:type="character" w:customStyle="1" w:styleId="WW8Num28z0">
    <w:name w:val="WW8Num28z0"/>
    <w:rsid w:val="001523B0"/>
    <w:rPr>
      <w:rFonts w:ascii="Symbol" w:hAnsi="Symbol" w:cs="Symbol"/>
      <w:sz w:val="20"/>
    </w:rPr>
  </w:style>
  <w:style w:type="character" w:customStyle="1" w:styleId="WW8Num28z1">
    <w:name w:val="WW8Num28z1"/>
    <w:rsid w:val="001523B0"/>
    <w:rPr>
      <w:rFonts w:ascii="Courier New" w:hAnsi="Courier New" w:cs="Courier New"/>
      <w:sz w:val="20"/>
    </w:rPr>
  </w:style>
  <w:style w:type="character" w:customStyle="1" w:styleId="WW8Num28z2">
    <w:name w:val="WW8Num28z2"/>
    <w:rsid w:val="001523B0"/>
    <w:rPr>
      <w:rFonts w:ascii="Wingdings" w:hAnsi="Wingdings" w:cs="Wingdings"/>
      <w:sz w:val="20"/>
    </w:rPr>
  </w:style>
  <w:style w:type="character" w:customStyle="1" w:styleId="WW8Num29z0">
    <w:name w:val="WW8Num29z0"/>
    <w:rsid w:val="001523B0"/>
    <w:rPr>
      <w:rFonts w:ascii="Times New Roman" w:eastAsia="Times New Roman" w:hAnsi="Times New Roman" w:cs="Times New Roman"/>
    </w:rPr>
  </w:style>
  <w:style w:type="character" w:customStyle="1" w:styleId="WW8Num29z1">
    <w:name w:val="WW8Num29z1"/>
    <w:rsid w:val="001523B0"/>
    <w:rPr>
      <w:rFonts w:ascii="Courier New" w:hAnsi="Courier New" w:cs="Courier New"/>
    </w:rPr>
  </w:style>
  <w:style w:type="character" w:customStyle="1" w:styleId="WW8Num29z2">
    <w:name w:val="WW8Num29z2"/>
    <w:rsid w:val="001523B0"/>
    <w:rPr>
      <w:rFonts w:ascii="Wingdings" w:hAnsi="Wingdings" w:cs="Wingdings"/>
    </w:rPr>
  </w:style>
  <w:style w:type="character" w:customStyle="1" w:styleId="WW8Num29z3">
    <w:name w:val="WW8Num29z3"/>
    <w:rsid w:val="001523B0"/>
    <w:rPr>
      <w:rFonts w:ascii="Symbol" w:hAnsi="Symbol" w:cs="Symbol"/>
    </w:rPr>
  </w:style>
  <w:style w:type="character" w:customStyle="1" w:styleId="WW8Num30z0">
    <w:name w:val="WW8Num30z0"/>
    <w:rsid w:val="001523B0"/>
    <w:rPr>
      <w:rFonts w:ascii="Symbol" w:hAnsi="Symbol" w:cs="Symbol"/>
      <w:sz w:val="20"/>
    </w:rPr>
  </w:style>
  <w:style w:type="character" w:customStyle="1" w:styleId="WW8Num30z1">
    <w:name w:val="WW8Num30z1"/>
    <w:rsid w:val="001523B0"/>
    <w:rPr>
      <w:rFonts w:ascii="Courier New" w:hAnsi="Courier New" w:cs="Courier New"/>
      <w:sz w:val="20"/>
    </w:rPr>
  </w:style>
  <w:style w:type="character" w:customStyle="1" w:styleId="WW8Num30z2">
    <w:name w:val="WW8Num30z2"/>
    <w:rsid w:val="001523B0"/>
    <w:rPr>
      <w:rFonts w:ascii="Wingdings" w:hAnsi="Wingdings" w:cs="Wingdings"/>
      <w:sz w:val="20"/>
    </w:rPr>
  </w:style>
  <w:style w:type="character" w:customStyle="1" w:styleId="10">
    <w:name w:val="Основной шрифт абзаца1"/>
    <w:rsid w:val="001523B0"/>
  </w:style>
  <w:style w:type="character" w:styleId="a3">
    <w:name w:val="page number"/>
    <w:basedOn w:val="10"/>
    <w:rsid w:val="001523B0"/>
  </w:style>
  <w:style w:type="character" w:styleId="a4">
    <w:name w:val="Strong"/>
    <w:basedOn w:val="10"/>
    <w:qFormat/>
    <w:rsid w:val="001523B0"/>
    <w:rPr>
      <w:b/>
      <w:bCs/>
    </w:rPr>
  </w:style>
  <w:style w:type="character" w:styleId="a5">
    <w:name w:val="Hyperlink"/>
    <w:basedOn w:val="10"/>
    <w:rsid w:val="001523B0"/>
    <w:rPr>
      <w:color w:val="0000FF"/>
      <w:u w:val="single"/>
    </w:rPr>
  </w:style>
  <w:style w:type="character" w:styleId="a6">
    <w:name w:val="Emphasis"/>
    <w:basedOn w:val="10"/>
    <w:qFormat/>
    <w:rsid w:val="001523B0"/>
    <w:rPr>
      <w:i/>
      <w:iCs/>
    </w:rPr>
  </w:style>
  <w:style w:type="character" w:customStyle="1" w:styleId="apple-style-span">
    <w:name w:val="apple-style-span"/>
    <w:basedOn w:val="10"/>
    <w:rsid w:val="001523B0"/>
  </w:style>
  <w:style w:type="character" w:customStyle="1" w:styleId="apple-converted-space">
    <w:name w:val="apple-converted-space"/>
    <w:basedOn w:val="10"/>
    <w:rsid w:val="001523B0"/>
  </w:style>
  <w:style w:type="character" w:customStyle="1" w:styleId="a7">
    <w:name w:val="Верхний колонтитул Знак"/>
    <w:basedOn w:val="10"/>
    <w:rsid w:val="001523B0"/>
  </w:style>
  <w:style w:type="character" w:customStyle="1" w:styleId="40">
    <w:name w:val="Заголовок 4 Знак"/>
    <w:basedOn w:val="10"/>
    <w:rsid w:val="001523B0"/>
    <w:rPr>
      <w:rFonts w:ascii="Calibri" w:eastAsia="Times New Roman" w:hAnsi="Calibri" w:cs="Times New Roman"/>
      <w:b/>
      <w:bCs/>
      <w:sz w:val="28"/>
      <w:szCs w:val="28"/>
    </w:rPr>
  </w:style>
  <w:style w:type="character" w:customStyle="1" w:styleId="a8">
    <w:name w:val="Основной текст Знак"/>
    <w:basedOn w:val="10"/>
    <w:rsid w:val="001523B0"/>
    <w:rPr>
      <w:sz w:val="24"/>
      <w:szCs w:val="24"/>
    </w:rPr>
  </w:style>
  <w:style w:type="paragraph" w:customStyle="1" w:styleId="a9">
    <w:name w:val="Заголовок"/>
    <w:basedOn w:val="a"/>
    <w:next w:val="aa"/>
    <w:rsid w:val="001523B0"/>
    <w:pPr>
      <w:keepNext/>
      <w:spacing w:before="240" w:after="120"/>
    </w:pPr>
    <w:rPr>
      <w:rFonts w:ascii="Arial" w:eastAsia="Lucida Sans Unicode" w:hAnsi="Arial" w:cs="Mangal"/>
      <w:sz w:val="28"/>
      <w:szCs w:val="28"/>
    </w:rPr>
  </w:style>
  <w:style w:type="paragraph" w:styleId="aa">
    <w:name w:val="Body Text"/>
    <w:basedOn w:val="a"/>
    <w:rsid w:val="001523B0"/>
    <w:pPr>
      <w:spacing w:after="120"/>
    </w:pPr>
  </w:style>
  <w:style w:type="paragraph" w:styleId="ab">
    <w:name w:val="List"/>
    <w:basedOn w:val="aa"/>
    <w:rsid w:val="001523B0"/>
    <w:rPr>
      <w:rFonts w:cs="Mangal"/>
    </w:rPr>
  </w:style>
  <w:style w:type="paragraph" w:styleId="ac">
    <w:name w:val="caption"/>
    <w:basedOn w:val="a"/>
    <w:qFormat/>
    <w:rsid w:val="001523B0"/>
    <w:pPr>
      <w:suppressLineNumbers/>
      <w:spacing w:before="120" w:after="120"/>
    </w:pPr>
    <w:rPr>
      <w:rFonts w:cs="Mangal"/>
      <w:i/>
      <w:iCs/>
    </w:rPr>
  </w:style>
  <w:style w:type="paragraph" w:customStyle="1" w:styleId="11">
    <w:name w:val="Указатель1"/>
    <w:basedOn w:val="a"/>
    <w:rsid w:val="001523B0"/>
    <w:pPr>
      <w:suppressLineNumbers/>
    </w:pPr>
    <w:rPr>
      <w:rFonts w:cs="Mangal"/>
    </w:rPr>
  </w:style>
  <w:style w:type="paragraph" w:styleId="ad">
    <w:name w:val="header"/>
    <w:basedOn w:val="a"/>
    <w:rsid w:val="001523B0"/>
    <w:pPr>
      <w:tabs>
        <w:tab w:val="center" w:pos="4153"/>
        <w:tab w:val="right" w:pos="8306"/>
      </w:tabs>
    </w:pPr>
    <w:rPr>
      <w:sz w:val="20"/>
      <w:szCs w:val="20"/>
    </w:rPr>
  </w:style>
  <w:style w:type="paragraph" w:styleId="ae">
    <w:name w:val="footer"/>
    <w:basedOn w:val="a"/>
    <w:rsid w:val="001523B0"/>
    <w:pPr>
      <w:tabs>
        <w:tab w:val="center" w:pos="4153"/>
        <w:tab w:val="right" w:pos="8306"/>
      </w:tabs>
    </w:pPr>
    <w:rPr>
      <w:sz w:val="20"/>
      <w:szCs w:val="20"/>
    </w:rPr>
  </w:style>
  <w:style w:type="paragraph" w:styleId="af">
    <w:name w:val="Balloon Text"/>
    <w:basedOn w:val="a"/>
    <w:rsid w:val="001523B0"/>
    <w:rPr>
      <w:rFonts w:ascii="Tahoma" w:hAnsi="Tahoma" w:cs="Tahoma"/>
      <w:sz w:val="16"/>
      <w:szCs w:val="16"/>
    </w:rPr>
  </w:style>
  <w:style w:type="paragraph" w:styleId="af0">
    <w:name w:val="Normal (Web)"/>
    <w:basedOn w:val="a"/>
    <w:rsid w:val="001523B0"/>
    <w:pPr>
      <w:spacing w:before="280" w:after="280"/>
    </w:pPr>
  </w:style>
  <w:style w:type="paragraph" w:customStyle="1" w:styleId="21">
    <w:name w:val="Основной текст с отступом 21"/>
    <w:basedOn w:val="a"/>
    <w:rsid w:val="001523B0"/>
    <w:pPr>
      <w:ind w:firstLine="709"/>
      <w:jc w:val="both"/>
    </w:pPr>
  </w:style>
  <w:style w:type="paragraph" w:customStyle="1" w:styleId="datetime">
    <w:name w:val="datetime"/>
    <w:basedOn w:val="a"/>
    <w:rsid w:val="001523B0"/>
    <w:pPr>
      <w:spacing w:before="280" w:after="280"/>
    </w:pPr>
  </w:style>
  <w:style w:type="paragraph" w:customStyle="1" w:styleId="af1">
    <w:name w:val="Содержимое врезки"/>
    <w:basedOn w:val="aa"/>
    <w:rsid w:val="001523B0"/>
  </w:style>
  <w:style w:type="paragraph" w:customStyle="1" w:styleId="af2">
    <w:name w:val="Содержимое таблицы"/>
    <w:basedOn w:val="a"/>
    <w:rsid w:val="001523B0"/>
    <w:pPr>
      <w:suppressLineNumbers/>
    </w:pPr>
  </w:style>
  <w:style w:type="paragraph" w:customStyle="1" w:styleId="af3">
    <w:name w:val="Заголовок таблицы"/>
    <w:basedOn w:val="af2"/>
    <w:rsid w:val="001523B0"/>
    <w:pPr>
      <w:jc w:val="center"/>
    </w:pPr>
    <w:rPr>
      <w:b/>
      <w:bCs/>
    </w:rPr>
  </w:style>
  <w:style w:type="paragraph" w:styleId="af4">
    <w:name w:val="Body Text Indent"/>
    <w:basedOn w:val="a"/>
    <w:link w:val="af5"/>
    <w:uiPriority w:val="99"/>
    <w:semiHidden/>
    <w:unhideWhenUsed/>
    <w:rsid w:val="00DB58C1"/>
    <w:pPr>
      <w:spacing w:after="120"/>
      <w:ind w:left="283"/>
    </w:pPr>
  </w:style>
  <w:style w:type="character" w:customStyle="1" w:styleId="af5">
    <w:name w:val="Основной текст с отступом Знак"/>
    <w:basedOn w:val="a0"/>
    <w:link w:val="af4"/>
    <w:uiPriority w:val="99"/>
    <w:semiHidden/>
    <w:rsid w:val="00DB58C1"/>
    <w:rPr>
      <w:sz w:val="24"/>
      <w:szCs w:val="24"/>
      <w:lang w:eastAsia="zh-CN"/>
    </w:rPr>
  </w:style>
  <w:style w:type="paragraph" w:styleId="af6">
    <w:name w:val="List Paragraph"/>
    <w:basedOn w:val="a"/>
    <w:uiPriority w:val="34"/>
    <w:qFormat/>
    <w:rsid w:val="00DB58C1"/>
    <w:pPr>
      <w:ind w:left="720"/>
      <w:contextualSpacing/>
    </w:pPr>
  </w:style>
  <w:style w:type="paragraph" w:customStyle="1" w:styleId="ConsPlusNormal">
    <w:name w:val="ConsPlusNormal"/>
    <w:rsid w:val="00D2153E"/>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AE3EC1B363AF92E133E8DDFBCD9F91BA970F3F239130745B0A0FED6BC502D0D9ED06662D6D7F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FB674-0B9B-4867-8040-975CD773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Microsoft</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subject/>
  <dc:creator>Стас</dc:creator>
  <cp:keywords/>
  <cp:lastModifiedBy>new</cp:lastModifiedBy>
  <cp:revision>2</cp:revision>
  <cp:lastPrinted>2014-05-21T10:23:00Z</cp:lastPrinted>
  <dcterms:created xsi:type="dcterms:W3CDTF">2015-03-13T08:28:00Z</dcterms:created>
  <dcterms:modified xsi:type="dcterms:W3CDTF">2015-03-13T08:28:00Z</dcterms:modified>
</cp:coreProperties>
</file>