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722B" w:rsidRDefault="001F722B" w:rsidP="001F722B">
      <w:pPr>
        <w:pageBreakBefore/>
        <w:spacing w:line="0" w:lineRule="atLeast"/>
        <w:jc w:val="center"/>
        <w:rPr>
          <w:b/>
          <w:bCs/>
        </w:rPr>
      </w:pPr>
      <w:r>
        <w:rPr>
          <w:b/>
          <w:bCs/>
        </w:rPr>
        <w:t>ПАМЯТКА РАБОТОДАТЕЛЯМ НА 2015 ГОД</w:t>
      </w:r>
    </w:p>
    <w:p w:rsidR="001F722B" w:rsidRDefault="001F722B" w:rsidP="001F722B">
      <w:pPr>
        <w:spacing w:line="0" w:lineRule="atLeast"/>
        <w:jc w:val="both"/>
        <w:rPr>
          <w:rStyle w:val="10"/>
          <w:rFonts w:eastAsia="Arial" w:cs="Arial"/>
          <w:sz w:val="26"/>
          <w:szCs w:val="26"/>
        </w:rPr>
      </w:pPr>
      <w:r>
        <w:rPr>
          <w:b/>
          <w:bCs/>
        </w:rPr>
        <w:tab/>
      </w:r>
      <w:r>
        <w:rPr>
          <w:rStyle w:val="10"/>
          <w:sz w:val="26"/>
          <w:szCs w:val="26"/>
        </w:rPr>
        <w:t xml:space="preserve">Работодателями являются плательщики страховых взносов, </w:t>
      </w:r>
      <w:r>
        <w:rPr>
          <w:rStyle w:val="10"/>
          <w:rFonts w:eastAsia="Arial" w:cs="Arial"/>
          <w:sz w:val="26"/>
          <w:szCs w:val="26"/>
        </w:rPr>
        <w:t>производящие выплаты и иные вознаграждения физическим лицам:</w:t>
      </w:r>
    </w:p>
    <w:p w:rsidR="001F722B" w:rsidRDefault="001F722B" w:rsidP="001F722B">
      <w:pPr>
        <w:widowControl w:val="0"/>
        <w:numPr>
          <w:ilvl w:val="0"/>
          <w:numId w:val="9"/>
        </w:numPr>
        <w:spacing w:line="0" w:lineRule="atLeast"/>
        <w:jc w:val="both"/>
        <w:rPr>
          <w:rStyle w:val="10"/>
          <w:rFonts w:eastAsia="Arial" w:cs="Arial"/>
          <w:sz w:val="26"/>
          <w:szCs w:val="26"/>
        </w:rPr>
      </w:pPr>
      <w:r>
        <w:rPr>
          <w:rStyle w:val="10"/>
          <w:rFonts w:eastAsia="Arial" w:cs="Arial"/>
          <w:sz w:val="26"/>
          <w:szCs w:val="26"/>
        </w:rPr>
        <w:t>организации;</w:t>
      </w:r>
    </w:p>
    <w:p w:rsidR="001F722B" w:rsidRDefault="001F722B" w:rsidP="001F722B">
      <w:pPr>
        <w:pStyle w:val="ConsPlusDocList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индивидуальные предприниматели;</w:t>
      </w:r>
    </w:p>
    <w:p w:rsidR="001F722B" w:rsidRDefault="001F722B" w:rsidP="001F722B">
      <w:pPr>
        <w:pStyle w:val="ConsPlusDocList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физические лица, не признаваемые индивидуальными предпринимателями.</w:t>
      </w:r>
    </w:p>
    <w:p w:rsidR="001F722B" w:rsidRDefault="001F722B" w:rsidP="001F722B">
      <w:pPr>
        <w:pStyle w:val="ConsPlusDocList"/>
        <w:spacing w:line="0" w:lineRule="atLeast"/>
        <w:jc w:val="both"/>
        <w:rPr>
          <w:rStyle w:val="10"/>
          <w:color w:val="000000"/>
        </w:rPr>
      </w:pPr>
      <w:r>
        <w:rPr>
          <w:rStyle w:val="a5"/>
          <w:rFonts w:ascii="Times New Roman" w:hAnsi="Times New Roman"/>
          <w:color w:val="000000"/>
          <w:sz w:val="26"/>
          <w:szCs w:val="26"/>
        </w:rPr>
        <w:tab/>
      </w:r>
      <w:hyperlink r:id="rId8" w:history="1">
        <w:r>
          <w:rPr>
            <w:rStyle w:val="a5"/>
            <w:rFonts w:ascii="Times New Roman" w:hAnsi="Times New Roman"/>
          </w:rPr>
          <w:t>Обособленные подразделения</w:t>
        </w:r>
      </w:hyperlink>
      <w:r>
        <w:rPr>
          <w:rStyle w:val="10"/>
          <w:rFonts w:ascii="Times New Roman" w:hAnsi="Times New Roman"/>
          <w:sz w:val="26"/>
          <w:szCs w:val="26"/>
        </w:rPr>
        <w:t xml:space="preserve">, имеющие отдельный баланс, расчетный счет и начисляющие выплаты и иные вознаграждения в пользу физических лиц, исполняют обязанности организации по уплате страховых взносов (ежемесячных обязательных платежей), а также обязанности по представлению расчетов по страховым взносам по месту своего нахождения. </w:t>
      </w:r>
      <w:r>
        <w:rPr>
          <w:rStyle w:val="10"/>
          <w:rFonts w:ascii="Times New Roman" w:hAnsi="Times New Roman"/>
          <w:color w:val="000000"/>
          <w:sz w:val="26"/>
          <w:szCs w:val="26"/>
          <w:lang w:eastAsia="fa-IR" w:bidi="fa-IR"/>
        </w:rPr>
        <w:t>Регистрация</w:t>
      </w:r>
      <w:r>
        <w:rPr>
          <w:rStyle w:val="10"/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Style w:val="10"/>
          <w:rFonts w:ascii="Times New Roman" w:hAnsi="Times New Roman"/>
          <w:color w:val="000000"/>
          <w:sz w:val="26"/>
          <w:szCs w:val="26"/>
          <w:lang w:eastAsia="fa-IR" w:bidi="fa-IR"/>
        </w:rPr>
        <w:t>в органах ПФР организаций по месту нахождения обособленных подразделений осуществляется на основании заявления</w:t>
      </w:r>
      <w:r>
        <w:rPr>
          <w:rStyle w:val="10"/>
          <w:rFonts w:ascii="Times New Roman" w:hAnsi="Times New Roman"/>
          <w:color w:val="000000"/>
          <w:sz w:val="26"/>
          <w:szCs w:val="26"/>
        </w:rPr>
        <w:t xml:space="preserve">  о регистрации российской организации в территориальном органе ПФР по месту нахождения обособленного подразделения на территории Российской Федерации.</w:t>
      </w:r>
    </w:p>
    <w:p w:rsidR="001F722B" w:rsidRDefault="001F722B" w:rsidP="001F722B">
      <w:pPr>
        <w:spacing w:line="0" w:lineRule="atLeast"/>
        <w:jc w:val="both"/>
        <w:rPr>
          <w:rStyle w:val="10"/>
          <w:rFonts w:eastAsia="Arial" w:cs="Arial"/>
          <w:sz w:val="26"/>
          <w:szCs w:val="26"/>
          <w:shd w:val="clear" w:color="auto" w:fill="FFFFFF"/>
        </w:rPr>
      </w:pPr>
      <w:r>
        <w:rPr>
          <w:rStyle w:val="10"/>
          <w:sz w:val="26"/>
          <w:szCs w:val="26"/>
          <w:shd w:val="clear" w:color="auto" w:fill="FFFFFF"/>
        </w:rPr>
        <w:tab/>
        <w:t>В 2015 году</w:t>
      </w:r>
      <w:r>
        <w:rPr>
          <w:rStyle w:val="10"/>
          <w:b/>
          <w:bCs/>
          <w:sz w:val="26"/>
          <w:szCs w:val="26"/>
          <w:shd w:val="clear" w:color="auto" w:fill="FFFFFF"/>
        </w:rPr>
        <w:t xml:space="preserve"> </w:t>
      </w:r>
      <w:r>
        <w:rPr>
          <w:rStyle w:val="10"/>
          <w:rFonts w:eastAsia="Arial" w:cs="Arial"/>
          <w:sz w:val="26"/>
          <w:szCs w:val="26"/>
          <w:shd w:val="clear" w:color="auto" w:fill="FFFFFF"/>
        </w:rPr>
        <w:t>для работодателей применяются следующие тарифы страховых взносов (за исключением работодателей, применяющих пониженные тарифы страховых взносов):</w:t>
      </w:r>
    </w:p>
    <w:p w:rsidR="001F722B" w:rsidRDefault="001F722B" w:rsidP="001F722B">
      <w:pPr>
        <w:pStyle w:val="ConsPlusDocList"/>
        <w:ind w:firstLine="54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6"/>
          <w:szCs w:val="26"/>
        </w:rPr>
        <w:t>1) Пенсионный фонд Российской Федерации:</w:t>
      </w:r>
    </w:p>
    <w:p w:rsidR="001F722B" w:rsidRDefault="001F722B" w:rsidP="001F722B">
      <w:pPr>
        <w:pStyle w:val="ConsPlusDocList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22,0 процента в пределах установленной предельной величины базы для начисления страховых взносов на обязательное пенсионное страхование (711 000 рублей);</w:t>
      </w:r>
    </w:p>
    <w:p w:rsidR="001F722B" w:rsidRDefault="001F722B" w:rsidP="001F722B">
      <w:pPr>
        <w:pStyle w:val="ConsPlusDocList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10,0 процента свыше установленной предельной величины базы для начисления страховых взносов на обязательное пенсионное страхование (711 000 рублей);</w:t>
      </w:r>
    </w:p>
    <w:p w:rsidR="001F722B" w:rsidRDefault="001F722B" w:rsidP="001F722B">
      <w:pPr>
        <w:pStyle w:val="ConsPlusDocList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2) Федеральный фонд обязательного медицинского страхования</w:t>
      </w:r>
      <w:r>
        <w:rPr>
          <w:rFonts w:ascii="Times New Roman" w:hAnsi="Times New Roman"/>
          <w:sz w:val="26"/>
          <w:szCs w:val="26"/>
        </w:rPr>
        <w:t xml:space="preserve"> - 5,1 процента.</w:t>
      </w:r>
    </w:p>
    <w:p w:rsidR="001F722B" w:rsidRDefault="001F722B" w:rsidP="001F722B">
      <w:pPr>
        <w:spacing w:line="0" w:lineRule="atLeast"/>
        <w:jc w:val="both"/>
        <w:rPr>
          <w:sz w:val="12"/>
          <w:szCs w:val="12"/>
        </w:rPr>
      </w:pPr>
    </w:p>
    <w:p w:rsidR="001F722B" w:rsidRDefault="001F722B" w:rsidP="001F722B">
      <w:pPr>
        <w:spacing w:line="0" w:lineRule="atLeast"/>
        <w:jc w:val="both"/>
        <w:rPr>
          <w:rStyle w:val="10"/>
          <w:sz w:val="26"/>
          <w:szCs w:val="26"/>
          <w:shd w:val="clear" w:color="auto" w:fill="FFFFFF"/>
        </w:rPr>
      </w:pPr>
      <w:r>
        <w:rPr>
          <w:rStyle w:val="10"/>
          <w:sz w:val="26"/>
          <w:szCs w:val="26"/>
          <w:shd w:val="clear" w:color="auto" w:fill="FFFFFF"/>
        </w:rPr>
        <w:tab/>
        <w:t>В течение расчетного периода работодатели</w:t>
      </w:r>
      <w:r>
        <w:rPr>
          <w:rStyle w:val="10"/>
          <w:b/>
          <w:bCs/>
          <w:sz w:val="26"/>
          <w:szCs w:val="26"/>
          <w:shd w:val="clear" w:color="auto" w:fill="FFFFFF"/>
        </w:rPr>
        <w:t xml:space="preserve"> </w:t>
      </w:r>
      <w:r>
        <w:rPr>
          <w:rStyle w:val="10"/>
          <w:sz w:val="26"/>
          <w:szCs w:val="26"/>
          <w:shd w:val="clear" w:color="auto" w:fill="FFFFFF"/>
        </w:rPr>
        <w:t>уплачивают страховые взносы в виде ежемесячных обязательных платежей.</w:t>
      </w:r>
    </w:p>
    <w:p w:rsidR="001F722B" w:rsidRDefault="001F722B" w:rsidP="001F722B">
      <w:pPr>
        <w:spacing w:line="0" w:lineRule="atLeast"/>
        <w:jc w:val="both"/>
      </w:pPr>
      <w:r>
        <w:rPr>
          <w:sz w:val="26"/>
          <w:szCs w:val="26"/>
          <w:shd w:val="clear" w:color="auto" w:fill="FFFFFF"/>
        </w:rPr>
        <w:tab/>
        <w:t>Ежемесячный обязательный платеж подлежит уплате в срок не позднее 15-го числа календарного месяца, следующего за календарным месяцем, за который начисляется ежемесячный обязательный платеж. Если указанный срок уплаты приходится на день, признаваемый в соответствии с законодательством Российской Федерации выходным днем и (или) нерабочим праздничным днем, днем окончания срока считается ближайший следующий за ним рабочий день.</w:t>
      </w:r>
    </w:p>
    <w:p w:rsidR="001F722B" w:rsidRDefault="001F722B" w:rsidP="001F722B">
      <w:pPr>
        <w:spacing w:line="0" w:lineRule="atLeast"/>
        <w:jc w:val="both"/>
        <w:rPr>
          <w:rStyle w:val="10"/>
          <w:rFonts w:eastAsia="Arial" w:cs="Arial"/>
        </w:rPr>
      </w:pPr>
      <w:r>
        <w:rPr>
          <w:rStyle w:val="10"/>
          <w:b/>
          <w:bCs/>
          <w:sz w:val="26"/>
          <w:szCs w:val="26"/>
          <w:shd w:val="clear" w:color="auto" w:fill="FFFFFF"/>
        </w:rPr>
        <w:tab/>
      </w:r>
      <w:r>
        <w:rPr>
          <w:rStyle w:val="10"/>
          <w:sz w:val="26"/>
          <w:szCs w:val="26"/>
          <w:shd w:val="clear" w:color="auto" w:fill="FFFFFF"/>
        </w:rPr>
        <w:t xml:space="preserve">За несвоевременную уплату страховых взносов начисляются пени в размере одной трехсотой </w:t>
      </w:r>
      <w:r>
        <w:rPr>
          <w:rStyle w:val="10"/>
          <w:rFonts w:eastAsia="Arial" w:cs="Arial"/>
          <w:sz w:val="26"/>
          <w:szCs w:val="26"/>
          <w:shd w:val="clear" w:color="auto" w:fill="FFFFFF"/>
        </w:rPr>
        <w:t>действующей в эти дни</w:t>
      </w:r>
      <w:r>
        <w:rPr>
          <w:rStyle w:val="10"/>
          <w:rFonts w:ascii="Arial" w:eastAsia="Arial" w:hAnsi="Arial" w:cs="Arial"/>
          <w:sz w:val="20"/>
          <w:szCs w:val="20"/>
          <w:shd w:val="clear" w:color="auto" w:fill="FFFFFF"/>
        </w:rPr>
        <w:t xml:space="preserve"> </w:t>
      </w:r>
      <w:r>
        <w:rPr>
          <w:rStyle w:val="10"/>
          <w:sz w:val="26"/>
          <w:szCs w:val="26"/>
          <w:shd w:val="clear" w:color="auto" w:fill="FFFFFF"/>
        </w:rPr>
        <w:t>ставки рефинансирования ЦБ РФ.</w:t>
      </w:r>
      <w:r>
        <w:rPr>
          <w:rStyle w:val="10"/>
          <w:b/>
          <w:bCs/>
          <w:sz w:val="26"/>
          <w:szCs w:val="26"/>
          <w:shd w:val="clear" w:color="auto" w:fill="FFFFFF"/>
        </w:rPr>
        <w:t xml:space="preserve"> </w:t>
      </w:r>
      <w:r>
        <w:rPr>
          <w:rStyle w:val="10"/>
          <w:rFonts w:eastAsia="Arial" w:cs="Arial"/>
          <w:sz w:val="26"/>
          <w:szCs w:val="26"/>
          <w:shd w:val="clear" w:color="auto" w:fill="FFFFFF"/>
        </w:rPr>
        <w:t xml:space="preserve">Пени начисляются за каждый календарный день просрочки исполнения обязанности по уплате страховых взносов начиная со дня, следующего за установленным </w:t>
      </w:r>
      <w:r>
        <w:rPr>
          <w:rStyle w:val="a5"/>
          <w:rFonts w:eastAsia="Arial" w:cs="Arial"/>
          <w:color w:val="000000"/>
          <w:sz w:val="26"/>
          <w:szCs w:val="26"/>
          <w:shd w:val="clear" w:color="auto" w:fill="FFFFFF"/>
        </w:rPr>
        <w:t>Федеральным законом от 24.07.2009 № 212-ФЗ</w:t>
      </w:r>
      <w:r>
        <w:rPr>
          <w:rStyle w:val="10"/>
          <w:rFonts w:eastAsia="Arial" w:cs="Arial"/>
          <w:sz w:val="26"/>
          <w:szCs w:val="26"/>
          <w:shd w:val="clear" w:color="auto" w:fill="FFFFFF"/>
        </w:rPr>
        <w:t xml:space="preserve"> сроком уплаты сумм страховых взносов, и по день их уплаты (взыскания) включительно (часть 3 статьи 25             Закона № 212-ФЗ). Также, за несвоевременную уплату или неполную уплату сумм страховых взносов в результате занижения базы для начисления страховых взносов, иного неправильного исчисления страховых взносов или других неправомерных действий (бездействия) плательщиков страховых взносов влечет взыскание штрафа в размере 20 процентов неуплаченной суммы страховых взносов, а деяния  </w:t>
      </w:r>
      <w:r>
        <w:rPr>
          <w:rStyle w:val="10"/>
          <w:rFonts w:eastAsia="Arial" w:cs="Arial"/>
          <w:sz w:val="26"/>
          <w:szCs w:val="26"/>
          <w:shd w:val="clear" w:color="auto" w:fill="FFFFFF"/>
        </w:rPr>
        <w:lastRenderedPageBreak/>
        <w:t>совершенные умышленно, влекут взыскание штрафа в размере 40 процентов неуплаченной суммы страховых взносов (статья 47 Закона № 212-ФЗ).</w:t>
      </w:r>
    </w:p>
    <w:p w:rsidR="001F722B" w:rsidRDefault="001F722B" w:rsidP="001F722B">
      <w:pPr>
        <w:spacing w:line="0" w:lineRule="atLeast"/>
        <w:ind w:firstLine="706"/>
        <w:jc w:val="both"/>
        <w:rPr>
          <w:rStyle w:val="10"/>
          <w:rFonts w:eastAsia="Arial" w:cs="Arial"/>
          <w:b/>
          <w:bCs/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Кроме того, </w:t>
      </w:r>
      <w:r>
        <w:rPr>
          <w:rFonts w:eastAsia="Arial" w:cs="Arial"/>
          <w:sz w:val="26"/>
          <w:szCs w:val="26"/>
          <w:shd w:val="clear" w:color="auto" w:fill="FFFFFF"/>
        </w:rPr>
        <w:t xml:space="preserve">работодатели </w:t>
      </w:r>
      <w:r>
        <w:rPr>
          <w:sz w:val="26"/>
          <w:szCs w:val="26"/>
          <w:shd w:val="clear" w:color="auto" w:fill="FFFFFF"/>
        </w:rPr>
        <w:t xml:space="preserve">обязаны ежеквартально представлять в территориальный орган ПФР по месту регистрации </w:t>
      </w:r>
      <w:r>
        <w:rPr>
          <w:rFonts w:eastAsia="Arial" w:cs="Arial"/>
          <w:sz w:val="26"/>
          <w:szCs w:val="26"/>
          <w:shd w:val="clear" w:color="auto" w:fill="FFFFFF"/>
        </w:rPr>
        <w:t xml:space="preserve"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       (далее — расчет). </w:t>
      </w:r>
      <w:r>
        <w:rPr>
          <w:rStyle w:val="10"/>
          <w:rFonts w:eastAsia="Arial" w:cs="Arial"/>
          <w:color w:val="000000"/>
          <w:sz w:val="26"/>
          <w:szCs w:val="26"/>
          <w:shd w:val="clear" w:color="auto" w:fill="FFFFFF"/>
        </w:rPr>
        <w:t xml:space="preserve">Плательщики страховых взносов - организации в случае прекращения деятельности организации в связи с ее ликвидацией либо прекращения физическим лицом деятельности в качестве индивидуального предпринимателя, производящего выплаты и иные вознаграждения физическим лицам, до конца расчетного периода (расчетный период - с 1 января по 31 декабря) </w:t>
      </w:r>
      <w:r>
        <w:rPr>
          <w:rStyle w:val="10"/>
          <w:rFonts w:eastAsia="Arial" w:cs="Arial"/>
          <w:b/>
          <w:bCs/>
          <w:color w:val="000000"/>
          <w:sz w:val="26"/>
          <w:szCs w:val="26"/>
          <w:shd w:val="clear" w:color="auto" w:fill="FFFFFF"/>
        </w:rPr>
        <w:t>обязаны до дня подачи в регистрирующий (налоговый) орган</w:t>
      </w:r>
      <w:r>
        <w:rPr>
          <w:rStyle w:val="10"/>
          <w:rFonts w:eastAsia="Arial" w:cs="Arial"/>
          <w:color w:val="000000"/>
          <w:sz w:val="26"/>
          <w:szCs w:val="26"/>
          <w:shd w:val="clear" w:color="auto" w:fill="FFFFFF"/>
        </w:rPr>
        <w:t xml:space="preserve"> заявления о государственной регистрации юридического лица в связи с его ликвидацией либо заявления о государственной регистрации прекращения физическим лицом деятельности в качестве индивидуального предпринимателя соответственно представить в территориальный орган ПФР расчет</w:t>
      </w:r>
      <w:r>
        <w:rPr>
          <w:rStyle w:val="10"/>
          <w:rFonts w:eastAsia="Arial" w:cs="Arial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10"/>
          <w:rFonts w:eastAsia="Arial" w:cs="Arial"/>
          <w:color w:val="000000"/>
          <w:sz w:val="26"/>
          <w:szCs w:val="26"/>
          <w:shd w:val="clear" w:color="auto" w:fill="FFFFFF"/>
        </w:rPr>
        <w:t xml:space="preserve">за период с начала расчетного периода по день представления указанного расчета включительно. Разница между суммой страховых взносов, подлежащей уплате в соответствии с указанным расчетом, и суммами страховых взносов, уплаченными плательщиками страховых взносов с начала расчетного периода, подлежит уплате в течение </w:t>
      </w:r>
      <w:r>
        <w:rPr>
          <w:rStyle w:val="10"/>
          <w:rFonts w:eastAsia="Arial" w:cs="Arial"/>
          <w:b/>
          <w:bCs/>
          <w:color w:val="000000"/>
          <w:sz w:val="26"/>
          <w:szCs w:val="26"/>
          <w:shd w:val="clear" w:color="auto" w:fill="FFFFFF"/>
        </w:rPr>
        <w:t>15 календарных дней со дня подачи такого расчета.</w:t>
      </w:r>
    </w:p>
    <w:p w:rsidR="001F722B" w:rsidRDefault="001F722B" w:rsidP="001F722B">
      <w:pPr>
        <w:spacing w:line="0" w:lineRule="atLeast"/>
        <w:ind w:firstLine="706"/>
        <w:jc w:val="both"/>
        <w:rPr>
          <w:rFonts w:eastAsia="Andale Sans UI" w:cs="Tahoma"/>
          <w:sz w:val="12"/>
          <w:szCs w:val="12"/>
        </w:rPr>
      </w:pPr>
    </w:p>
    <w:p w:rsidR="001F722B" w:rsidRDefault="001F722B" w:rsidP="001F722B">
      <w:pPr>
        <w:jc w:val="both"/>
        <w:rPr>
          <w:rStyle w:val="10"/>
          <w:b/>
          <w:bCs/>
          <w:sz w:val="26"/>
          <w:szCs w:val="26"/>
          <w:shd w:val="clear" w:color="auto" w:fill="FFFFFF"/>
        </w:rPr>
      </w:pPr>
      <w:r>
        <w:rPr>
          <w:rStyle w:val="10"/>
          <w:b/>
          <w:bCs/>
          <w:sz w:val="26"/>
          <w:szCs w:val="26"/>
          <w:shd w:val="clear" w:color="auto" w:fill="FFFFFF"/>
        </w:rPr>
        <w:t>Сроки представления расчета за отчетные периоды 2015 года на бумажном носителе:</w:t>
      </w:r>
    </w:p>
    <w:p w:rsidR="001F722B" w:rsidRDefault="001F722B" w:rsidP="001F722B">
      <w:pPr>
        <w:jc w:val="both"/>
        <w:rPr>
          <w:rStyle w:val="10"/>
          <w:sz w:val="26"/>
          <w:szCs w:val="26"/>
          <w:shd w:val="clear" w:color="auto" w:fill="FFFFFF"/>
        </w:rPr>
      </w:pPr>
      <w:r>
        <w:rPr>
          <w:rStyle w:val="10"/>
          <w:sz w:val="26"/>
          <w:szCs w:val="26"/>
          <w:shd w:val="clear" w:color="auto" w:fill="FFFFFF"/>
        </w:rPr>
        <w:t>за 1 квартал - не позднее 15.05.2015</w:t>
      </w:r>
    </w:p>
    <w:p w:rsidR="001F722B" w:rsidRDefault="001F722B" w:rsidP="001F722B">
      <w:pPr>
        <w:jc w:val="both"/>
        <w:rPr>
          <w:rStyle w:val="10"/>
          <w:sz w:val="26"/>
          <w:szCs w:val="26"/>
          <w:shd w:val="clear" w:color="auto" w:fill="FFFFFF"/>
        </w:rPr>
      </w:pPr>
      <w:r>
        <w:rPr>
          <w:rStyle w:val="10"/>
          <w:sz w:val="26"/>
          <w:szCs w:val="26"/>
          <w:shd w:val="clear" w:color="auto" w:fill="FFFFFF"/>
        </w:rPr>
        <w:t>за полугодие - не позднее 17.08.2015</w:t>
      </w:r>
    </w:p>
    <w:p w:rsidR="001F722B" w:rsidRDefault="001F722B" w:rsidP="001F722B">
      <w:pPr>
        <w:jc w:val="both"/>
        <w:rPr>
          <w:rStyle w:val="10"/>
          <w:sz w:val="26"/>
          <w:szCs w:val="26"/>
          <w:shd w:val="clear" w:color="auto" w:fill="FFFFFF"/>
        </w:rPr>
      </w:pPr>
      <w:r>
        <w:rPr>
          <w:rStyle w:val="10"/>
          <w:sz w:val="26"/>
          <w:szCs w:val="26"/>
          <w:shd w:val="clear" w:color="auto" w:fill="FFFFFF"/>
        </w:rPr>
        <w:t>за 9 месяцев - не позднее 16.11.2015</w:t>
      </w:r>
    </w:p>
    <w:p w:rsidR="001F722B" w:rsidRDefault="001F722B" w:rsidP="001F722B">
      <w:pPr>
        <w:jc w:val="both"/>
        <w:rPr>
          <w:rStyle w:val="10"/>
          <w:sz w:val="26"/>
          <w:szCs w:val="26"/>
          <w:shd w:val="clear" w:color="auto" w:fill="FFFFFF"/>
        </w:rPr>
      </w:pPr>
      <w:r>
        <w:rPr>
          <w:rStyle w:val="10"/>
          <w:sz w:val="26"/>
          <w:szCs w:val="26"/>
          <w:shd w:val="clear" w:color="auto" w:fill="FFFFFF"/>
        </w:rPr>
        <w:t>за календарный год – не позднее 15.02.2016</w:t>
      </w:r>
    </w:p>
    <w:p w:rsidR="001F722B" w:rsidRDefault="001F722B" w:rsidP="001F722B">
      <w:pPr>
        <w:jc w:val="both"/>
        <w:rPr>
          <w:rStyle w:val="10"/>
          <w:b/>
          <w:bCs/>
          <w:sz w:val="26"/>
          <w:szCs w:val="26"/>
          <w:shd w:val="clear" w:color="auto" w:fill="FFFFFF"/>
        </w:rPr>
      </w:pPr>
      <w:r>
        <w:rPr>
          <w:rStyle w:val="10"/>
          <w:b/>
          <w:bCs/>
          <w:sz w:val="26"/>
          <w:szCs w:val="26"/>
          <w:shd w:val="clear" w:color="auto" w:fill="FFFFFF"/>
        </w:rPr>
        <w:t>Сроки представления расчета за отчетные периоды 2015 года в форме электронного документа:</w:t>
      </w:r>
    </w:p>
    <w:p w:rsidR="001F722B" w:rsidRDefault="001F722B" w:rsidP="001F722B">
      <w:pPr>
        <w:jc w:val="both"/>
        <w:rPr>
          <w:rStyle w:val="10"/>
          <w:sz w:val="26"/>
          <w:szCs w:val="26"/>
          <w:shd w:val="clear" w:color="auto" w:fill="FFFFFF"/>
        </w:rPr>
      </w:pPr>
      <w:r>
        <w:rPr>
          <w:rStyle w:val="10"/>
          <w:sz w:val="26"/>
          <w:szCs w:val="26"/>
          <w:shd w:val="clear" w:color="auto" w:fill="FFFFFF"/>
        </w:rPr>
        <w:t>за 1 квартал - не позднее 20.05.2015</w:t>
      </w:r>
    </w:p>
    <w:p w:rsidR="001F722B" w:rsidRDefault="001F722B" w:rsidP="001F722B">
      <w:pPr>
        <w:jc w:val="both"/>
        <w:rPr>
          <w:rStyle w:val="10"/>
          <w:sz w:val="26"/>
          <w:szCs w:val="26"/>
          <w:shd w:val="clear" w:color="auto" w:fill="FFFFFF"/>
        </w:rPr>
      </w:pPr>
      <w:r>
        <w:rPr>
          <w:rStyle w:val="10"/>
          <w:sz w:val="26"/>
          <w:szCs w:val="26"/>
          <w:shd w:val="clear" w:color="auto" w:fill="FFFFFF"/>
        </w:rPr>
        <w:t>за полугодие - не позднее 20.08.2015</w:t>
      </w:r>
    </w:p>
    <w:p w:rsidR="001F722B" w:rsidRDefault="001F722B" w:rsidP="001F722B">
      <w:pPr>
        <w:jc w:val="both"/>
        <w:rPr>
          <w:rStyle w:val="10"/>
          <w:sz w:val="26"/>
          <w:szCs w:val="26"/>
          <w:shd w:val="clear" w:color="auto" w:fill="FFFFFF"/>
        </w:rPr>
      </w:pPr>
      <w:r>
        <w:rPr>
          <w:rStyle w:val="10"/>
          <w:sz w:val="26"/>
          <w:szCs w:val="26"/>
          <w:shd w:val="clear" w:color="auto" w:fill="FFFFFF"/>
        </w:rPr>
        <w:t>за 9 месяцев - не позднее 20.11.2015</w:t>
      </w:r>
    </w:p>
    <w:p w:rsidR="001F722B" w:rsidRDefault="001F722B" w:rsidP="001F722B">
      <w:pPr>
        <w:jc w:val="both"/>
        <w:rPr>
          <w:rStyle w:val="10"/>
          <w:sz w:val="26"/>
          <w:szCs w:val="26"/>
          <w:shd w:val="clear" w:color="auto" w:fill="FFFFFF"/>
        </w:rPr>
      </w:pPr>
      <w:r>
        <w:rPr>
          <w:rStyle w:val="10"/>
          <w:sz w:val="26"/>
          <w:szCs w:val="26"/>
          <w:shd w:val="clear" w:color="auto" w:fill="FFFFFF"/>
        </w:rPr>
        <w:t>за календарный год – не позднее 22.02.2016</w:t>
      </w:r>
    </w:p>
    <w:p w:rsidR="001F722B" w:rsidRDefault="001F722B" w:rsidP="001F722B">
      <w:pPr>
        <w:jc w:val="both"/>
        <w:rPr>
          <w:color w:val="000000"/>
          <w:lang w:val="de-DE"/>
        </w:rPr>
      </w:pPr>
      <w:r>
        <w:rPr>
          <w:sz w:val="26"/>
          <w:szCs w:val="26"/>
          <w:shd w:val="clear" w:color="auto" w:fill="FFFFFF"/>
        </w:rPr>
        <w:tab/>
        <w:t xml:space="preserve">Обязанность по представлению расчетов </w:t>
      </w:r>
      <w:r>
        <w:rPr>
          <w:rFonts w:eastAsia="Arial" w:cs="Arial"/>
          <w:sz w:val="26"/>
          <w:szCs w:val="26"/>
        </w:rPr>
        <w:t xml:space="preserve">в форме электронных документов, подписанных усиленной квалифицированной электронной подписью, возложена на работодателей, у которых </w:t>
      </w:r>
      <w:hyperlink r:id="rId9" w:history="1">
        <w:r>
          <w:rPr>
            <w:rStyle w:val="a5"/>
          </w:rPr>
          <w:t>среднесписочная численность</w:t>
        </w:r>
      </w:hyperlink>
      <w:r>
        <w:rPr>
          <w:rFonts w:eastAsia="Arial" w:cs="Arial"/>
          <w:sz w:val="26"/>
          <w:szCs w:val="26"/>
        </w:rPr>
        <w:t xml:space="preserve"> физических лиц, в пользу которых производятся выплаты и иные вознаграждения, за предшествующий расчетный период превышает 25 человек, а также вновь созданные (в том числе при реорганизации) организации, у которых численность указанных физических лиц превышает данный предел.</w:t>
      </w:r>
      <w:r>
        <w:rPr>
          <w:rFonts w:eastAsia="Arial" w:cs="Arial"/>
          <w:sz w:val="26"/>
          <w:szCs w:val="26"/>
        </w:rPr>
        <w:tab/>
      </w:r>
      <w:r>
        <w:rPr>
          <w:rFonts w:eastAsia="Arial" w:cs="Arial"/>
          <w:sz w:val="26"/>
          <w:szCs w:val="26"/>
        </w:rPr>
        <w:tab/>
      </w:r>
      <w:r>
        <w:rPr>
          <w:rFonts w:eastAsia="Arial" w:cs="Arial"/>
          <w:sz w:val="26"/>
          <w:szCs w:val="26"/>
        </w:rPr>
        <w:tab/>
      </w:r>
      <w:r>
        <w:rPr>
          <w:rFonts w:eastAsia="Arial" w:cs="Arial"/>
          <w:sz w:val="26"/>
          <w:szCs w:val="26"/>
        </w:rPr>
        <w:tab/>
      </w:r>
      <w:r>
        <w:rPr>
          <w:rFonts w:eastAsia="Arial" w:cs="Arial"/>
          <w:sz w:val="26"/>
          <w:szCs w:val="26"/>
        </w:rPr>
        <w:tab/>
      </w:r>
      <w:r>
        <w:rPr>
          <w:rFonts w:eastAsia="Arial" w:cs="Arial"/>
          <w:sz w:val="26"/>
          <w:szCs w:val="26"/>
        </w:rPr>
        <w:tab/>
      </w:r>
      <w:r>
        <w:rPr>
          <w:rFonts w:eastAsia="Arial" w:cs="Arial"/>
          <w:sz w:val="26"/>
          <w:szCs w:val="26"/>
        </w:rPr>
        <w:tab/>
      </w:r>
      <w:r>
        <w:rPr>
          <w:b/>
          <w:bCs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</w:rPr>
        <w:t xml:space="preserve">Непредставление расчета в установленный вышеназванным законом срок влечет взыскание штрафа в размере 5 процентов суммы страховых взносов, начисленной к уплате за последние три месяца отчетного (расчетного) периода, за каждый полный или неполный месяц со дня, установленного для его представления, </w:t>
      </w:r>
      <w:r>
        <w:rPr>
          <w:color w:val="000000"/>
          <w:sz w:val="26"/>
          <w:szCs w:val="26"/>
        </w:rPr>
        <w:lastRenderedPageBreak/>
        <w:t>но не более 30 процентов указанной суммы и не менее 1000 рублей (часть 1 статья 46  Закона № 212-ФЗ).</w:t>
      </w:r>
    </w:p>
    <w:p w:rsidR="001F722B" w:rsidRDefault="001F722B" w:rsidP="001F722B">
      <w:pPr>
        <w:spacing w:line="0" w:lineRule="atLeast"/>
        <w:ind w:firstLine="706"/>
        <w:jc w:val="both"/>
        <w:rPr>
          <w:color w:val="000000"/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Несоблюдение порядка представления расчета в электронном виде в случаях, предусмотренных Федеральным законом от 24.07.2009 № 212-ФЗ, влечет взыскание штрафа в размере 200 рублей </w:t>
      </w:r>
      <w:r>
        <w:rPr>
          <w:color w:val="000000"/>
          <w:sz w:val="26"/>
          <w:szCs w:val="26"/>
        </w:rPr>
        <w:t>(часть 2 статья 46 Закона № 212-ФЗ).</w:t>
      </w:r>
    </w:p>
    <w:p w:rsidR="001F722B" w:rsidRDefault="001F722B" w:rsidP="001F722B">
      <w:pPr>
        <w:spacing w:line="0" w:lineRule="atLeast"/>
        <w:ind w:firstLine="706"/>
        <w:jc w:val="both"/>
        <w:rPr>
          <w:rStyle w:val="10"/>
          <w:shd w:val="clear" w:color="auto" w:fill="FFFFFF"/>
        </w:rPr>
      </w:pPr>
      <w:r>
        <w:rPr>
          <w:rStyle w:val="10"/>
          <w:sz w:val="26"/>
          <w:szCs w:val="26"/>
          <w:shd w:val="clear" w:color="auto" w:fill="FFFFFF"/>
        </w:rPr>
        <w:t>Отказ или непредставление в установленный срок документов (копий документов), необходимых для осуществления контроля за уплатой страховых взносов, предусмотренных вышеназванным законом влечет взыскание штрафа в размере 200 рублей за каждый непредставленный документ (статья 48                        Закона № 212-ФЗ).</w:t>
      </w:r>
    </w:p>
    <w:p w:rsidR="001F722B" w:rsidRDefault="001F722B" w:rsidP="001F722B">
      <w:pPr>
        <w:spacing w:line="0" w:lineRule="atLeast"/>
        <w:ind w:firstLine="706"/>
        <w:jc w:val="both"/>
        <w:rPr>
          <w:rFonts w:eastAsia="Tms Rmn" w:cs="Tms Rmn"/>
          <w:b/>
          <w:color w:val="000000"/>
          <w:lang w:eastAsia="ar-SA"/>
        </w:rPr>
      </w:pPr>
      <w:r>
        <w:rPr>
          <w:sz w:val="26"/>
          <w:szCs w:val="26"/>
        </w:rPr>
        <w:t>Обращаем Ваше внимание, на официальном сайте</w:t>
      </w:r>
      <w:r>
        <w:rPr>
          <w:rFonts w:eastAsia="Tms Rmn" w:cs="Tms Rmn"/>
          <w:color w:val="000000"/>
          <w:sz w:val="26"/>
          <w:szCs w:val="26"/>
          <w:shd w:val="clear" w:color="auto" w:fill="FFFFFF"/>
          <w:lang w:eastAsia="ar-SA"/>
        </w:rPr>
        <w:t xml:space="preserve"> ПФР, на странице Отделения ПФР по Санкт-Петербургу и Ленинградской области (</w:t>
      </w:r>
      <w:hyperlink r:id="rId10" w:history="1">
        <w:r>
          <w:rPr>
            <w:rStyle w:val="a5"/>
          </w:rPr>
          <w:t>www.pfrf.ru</w:t>
        </w:r>
      </w:hyperlink>
      <w:r>
        <w:rPr>
          <w:rFonts w:eastAsia="Tms Rmn" w:cs="Tms Rmn"/>
          <w:color w:val="000000"/>
          <w:sz w:val="26"/>
          <w:szCs w:val="26"/>
          <w:shd w:val="clear" w:color="auto" w:fill="FFFFFF"/>
          <w:lang w:eastAsia="ar-SA"/>
        </w:rPr>
        <w:t>)</w:t>
      </w:r>
      <w:r>
        <w:rPr>
          <w:rFonts w:eastAsia="Tms Rmn" w:cs="Tms Rmn"/>
          <w:b/>
          <w:color w:val="000000"/>
          <w:sz w:val="26"/>
          <w:szCs w:val="26"/>
          <w:shd w:val="clear" w:color="auto" w:fill="FFFFFF"/>
          <w:lang w:eastAsia="ar-SA"/>
        </w:rPr>
        <w:t xml:space="preserve"> </w:t>
      </w:r>
      <w:r>
        <w:rPr>
          <w:sz w:val="26"/>
          <w:szCs w:val="26"/>
        </w:rPr>
        <w:t>размещается актуальная информация об изменении законодательства Российской Федерации о страховых взносах</w:t>
      </w:r>
      <w:r>
        <w:rPr>
          <w:rFonts w:eastAsia="Tms Rmn" w:cs="Tms Rmn"/>
          <w:b/>
          <w:color w:val="000000"/>
          <w:sz w:val="26"/>
          <w:szCs w:val="26"/>
          <w:shd w:val="clear" w:color="auto" w:fill="FFFFFF"/>
          <w:lang w:eastAsia="ar-SA"/>
        </w:rPr>
        <w:t>.</w:t>
      </w:r>
    </w:p>
    <w:p w:rsidR="00110194" w:rsidRPr="001F722B" w:rsidRDefault="00110194" w:rsidP="001F722B"/>
    <w:sectPr w:rsidR="00110194" w:rsidRPr="001F722B" w:rsidSect="003728E9">
      <w:headerReference w:type="default" r:id="rId11"/>
      <w:pgSz w:w="11906" w:h="16838"/>
      <w:pgMar w:top="2236" w:right="991" w:bottom="993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0CC" w:rsidRDefault="005650CC">
      <w:r>
        <w:separator/>
      </w:r>
    </w:p>
  </w:endnote>
  <w:endnote w:type="continuationSeparator" w:id="0">
    <w:p w:rsidR="005650CC" w:rsidRDefault="00565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0CC" w:rsidRDefault="005650CC">
      <w:r>
        <w:separator/>
      </w:r>
    </w:p>
  </w:footnote>
  <w:footnote w:type="continuationSeparator" w:id="0">
    <w:p w:rsidR="005650CC" w:rsidRDefault="00565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2743DD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B5F32" w:rsidRDefault="00E03E84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</w:t>
                </w:r>
                <w:r w:rsidR="00FB5F32">
                  <w:rPr>
                    <w:sz w:val="28"/>
                    <w:szCs w:val="28"/>
                  </w:rPr>
                  <w:t xml:space="preserve"> Пенсионного фонда </w:t>
                </w:r>
                <w:r w:rsidR="00E13739">
                  <w:rPr>
                    <w:sz w:val="28"/>
                    <w:szCs w:val="28"/>
                  </w:rPr>
                  <w:t xml:space="preserve">в </w:t>
                </w:r>
                <w:r>
                  <w:rPr>
                    <w:sz w:val="28"/>
                    <w:szCs w:val="28"/>
                  </w:rPr>
                  <w:t>Приморско</w:t>
                </w:r>
                <w:r w:rsidR="00E13739">
                  <w:rPr>
                    <w:sz w:val="28"/>
                    <w:szCs w:val="28"/>
                  </w:rPr>
                  <w:t>м</w:t>
                </w:r>
                <w:r>
                  <w:rPr>
                    <w:sz w:val="28"/>
                    <w:szCs w:val="28"/>
                  </w:rPr>
                  <w:t xml:space="preserve"> район</w:t>
                </w:r>
                <w:r w:rsidR="00E13739">
                  <w:rPr>
                    <w:sz w:val="28"/>
                    <w:szCs w:val="28"/>
                  </w:rPr>
                  <w:t>е</w:t>
                </w:r>
              </w:p>
              <w:p w:rsidR="00FB5F32" w:rsidRDefault="00FB5F32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DA1394"/>
    <w:multiLevelType w:val="multilevel"/>
    <w:tmpl w:val="6C9054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24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E8"/>
    <w:rsid w:val="000148F2"/>
    <w:rsid w:val="00014C0C"/>
    <w:rsid w:val="00015369"/>
    <w:rsid w:val="00017451"/>
    <w:rsid w:val="000254A5"/>
    <w:rsid w:val="00030EC6"/>
    <w:rsid w:val="000312D8"/>
    <w:rsid w:val="00034902"/>
    <w:rsid w:val="000402C8"/>
    <w:rsid w:val="000773FB"/>
    <w:rsid w:val="000A192C"/>
    <w:rsid w:val="000C56B4"/>
    <w:rsid w:val="000C75F0"/>
    <w:rsid w:val="000E0ED7"/>
    <w:rsid w:val="00110194"/>
    <w:rsid w:val="00114F0D"/>
    <w:rsid w:val="00130059"/>
    <w:rsid w:val="001365F3"/>
    <w:rsid w:val="001523B0"/>
    <w:rsid w:val="00165715"/>
    <w:rsid w:val="00186CAD"/>
    <w:rsid w:val="001A1E1A"/>
    <w:rsid w:val="001B3B87"/>
    <w:rsid w:val="001C563F"/>
    <w:rsid w:val="001C7DE0"/>
    <w:rsid w:val="001E1AE6"/>
    <w:rsid w:val="001E7B1F"/>
    <w:rsid w:val="001F722B"/>
    <w:rsid w:val="002001B2"/>
    <w:rsid w:val="0022548D"/>
    <w:rsid w:val="0026009D"/>
    <w:rsid w:val="002722D2"/>
    <w:rsid w:val="002743DD"/>
    <w:rsid w:val="00274832"/>
    <w:rsid w:val="002765D0"/>
    <w:rsid w:val="002A4C01"/>
    <w:rsid w:val="002B7889"/>
    <w:rsid w:val="002D0091"/>
    <w:rsid w:val="002D1276"/>
    <w:rsid w:val="002D47BB"/>
    <w:rsid w:val="002E382C"/>
    <w:rsid w:val="002F45FF"/>
    <w:rsid w:val="00302993"/>
    <w:rsid w:val="00304071"/>
    <w:rsid w:val="0031221C"/>
    <w:rsid w:val="003125FB"/>
    <w:rsid w:val="00315DBD"/>
    <w:rsid w:val="00320B31"/>
    <w:rsid w:val="00323865"/>
    <w:rsid w:val="00326E2C"/>
    <w:rsid w:val="003647D8"/>
    <w:rsid w:val="0037101F"/>
    <w:rsid w:val="003728E9"/>
    <w:rsid w:val="00381F24"/>
    <w:rsid w:val="003877C6"/>
    <w:rsid w:val="003D2B10"/>
    <w:rsid w:val="003D5F54"/>
    <w:rsid w:val="003D71BC"/>
    <w:rsid w:val="003D75E0"/>
    <w:rsid w:val="00407DAD"/>
    <w:rsid w:val="00454958"/>
    <w:rsid w:val="00471ACC"/>
    <w:rsid w:val="00481506"/>
    <w:rsid w:val="004A4635"/>
    <w:rsid w:val="004B29FE"/>
    <w:rsid w:val="004D2BBA"/>
    <w:rsid w:val="004F42CC"/>
    <w:rsid w:val="005011C1"/>
    <w:rsid w:val="005216C4"/>
    <w:rsid w:val="00536D1A"/>
    <w:rsid w:val="005372C4"/>
    <w:rsid w:val="00543348"/>
    <w:rsid w:val="00546728"/>
    <w:rsid w:val="005650CC"/>
    <w:rsid w:val="00573487"/>
    <w:rsid w:val="0057487D"/>
    <w:rsid w:val="00584D36"/>
    <w:rsid w:val="005A02C1"/>
    <w:rsid w:val="005A46D5"/>
    <w:rsid w:val="005B0E19"/>
    <w:rsid w:val="005C2101"/>
    <w:rsid w:val="005D0A7C"/>
    <w:rsid w:val="005D23A9"/>
    <w:rsid w:val="005E689C"/>
    <w:rsid w:val="005E7BE0"/>
    <w:rsid w:val="00603A22"/>
    <w:rsid w:val="0061042A"/>
    <w:rsid w:val="00615B09"/>
    <w:rsid w:val="0062761D"/>
    <w:rsid w:val="006469E1"/>
    <w:rsid w:val="006500A1"/>
    <w:rsid w:val="00653902"/>
    <w:rsid w:val="00675869"/>
    <w:rsid w:val="00680E8E"/>
    <w:rsid w:val="00697CB4"/>
    <w:rsid w:val="006C7C43"/>
    <w:rsid w:val="006D07FC"/>
    <w:rsid w:val="006D4F3E"/>
    <w:rsid w:val="006E444C"/>
    <w:rsid w:val="006F0568"/>
    <w:rsid w:val="006F6AA0"/>
    <w:rsid w:val="007011EA"/>
    <w:rsid w:val="007038EC"/>
    <w:rsid w:val="00712DE7"/>
    <w:rsid w:val="007426D3"/>
    <w:rsid w:val="0075736E"/>
    <w:rsid w:val="00763ED1"/>
    <w:rsid w:val="0076645C"/>
    <w:rsid w:val="00766473"/>
    <w:rsid w:val="007741E3"/>
    <w:rsid w:val="0078161B"/>
    <w:rsid w:val="0078521F"/>
    <w:rsid w:val="00792C54"/>
    <w:rsid w:val="007B451B"/>
    <w:rsid w:val="007D62EE"/>
    <w:rsid w:val="007D7239"/>
    <w:rsid w:val="007F4233"/>
    <w:rsid w:val="00831C4B"/>
    <w:rsid w:val="008322BC"/>
    <w:rsid w:val="00836A47"/>
    <w:rsid w:val="00840B49"/>
    <w:rsid w:val="00852488"/>
    <w:rsid w:val="00877765"/>
    <w:rsid w:val="008819A4"/>
    <w:rsid w:val="00885620"/>
    <w:rsid w:val="008921BB"/>
    <w:rsid w:val="00893240"/>
    <w:rsid w:val="00896698"/>
    <w:rsid w:val="008C2739"/>
    <w:rsid w:val="008C3C87"/>
    <w:rsid w:val="008D1C0C"/>
    <w:rsid w:val="008E5F5C"/>
    <w:rsid w:val="008F6180"/>
    <w:rsid w:val="00915590"/>
    <w:rsid w:val="00916A46"/>
    <w:rsid w:val="00935BDF"/>
    <w:rsid w:val="00940586"/>
    <w:rsid w:val="00943079"/>
    <w:rsid w:val="00945CA7"/>
    <w:rsid w:val="00971A6C"/>
    <w:rsid w:val="009853A1"/>
    <w:rsid w:val="00994552"/>
    <w:rsid w:val="00995E9E"/>
    <w:rsid w:val="009A4144"/>
    <w:rsid w:val="009F386F"/>
    <w:rsid w:val="00A02A4F"/>
    <w:rsid w:val="00A131E9"/>
    <w:rsid w:val="00A31226"/>
    <w:rsid w:val="00A47D0B"/>
    <w:rsid w:val="00A52E7D"/>
    <w:rsid w:val="00A73CAD"/>
    <w:rsid w:val="00A74E47"/>
    <w:rsid w:val="00A753D4"/>
    <w:rsid w:val="00A87DCD"/>
    <w:rsid w:val="00A94D56"/>
    <w:rsid w:val="00AA3B55"/>
    <w:rsid w:val="00AC21B5"/>
    <w:rsid w:val="00AC2CC1"/>
    <w:rsid w:val="00AC6680"/>
    <w:rsid w:val="00AC6F84"/>
    <w:rsid w:val="00AD0E84"/>
    <w:rsid w:val="00AD4262"/>
    <w:rsid w:val="00AD56CD"/>
    <w:rsid w:val="00AD690F"/>
    <w:rsid w:val="00AE29C8"/>
    <w:rsid w:val="00AE3F59"/>
    <w:rsid w:val="00AF4339"/>
    <w:rsid w:val="00B22744"/>
    <w:rsid w:val="00B243EC"/>
    <w:rsid w:val="00B24938"/>
    <w:rsid w:val="00B267DC"/>
    <w:rsid w:val="00B416A6"/>
    <w:rsid w:val="00B609E8"/>
    <w:rsid w:val="00B65A08"/>
    <w:rsid w:val="00B65DA2"/>
    <w:rsid w:val="00B72B0C"/>
    <w:rsid w:val="00B73E4B"/>
    <w:rsid w:val="00B80809"/>
    <w:rsid w:val="00B8392D"/>
    <w:rsid w:val="00BA7898"/>
    <w:rsid w:val="00BB38E6"/>
    <w:rsid w:val="00BB7F87"/>
    <w:rsid w:val="00BE2493"/>
    <w:rsid w:val="00BF26D3"/>
    <w:rsid w:val="00C02E82"/>
    <w:rsid w:val="00C10A9B"/>
    <w:rsid w:val="00C14527"/>
    <w:rsid w:val="00C25476"/>
    <w:rsid w:val="00C550AD"/>
    <w:rsid w:val="00C67FE6"/>
    <w:rsid w:val="00CA1F19"/>
    <w:rsid w:val="00CA3FF2"/>
    <w:rsid w:val="00CB65F6"/>
    <w:rsid w:val="00CF2E6B"/>
    <w:rsid w:val="00CF4A74"/>
    <w:rsid w:val="00D06E7D"/>
    <w:rsid w:val="00D20470"/>
    <w:rsid w:val="00D22BFF"/>
    <w:rsid w:val="00D30284"/>
    <w:rsid w:val="00D3461B"/>
    <w:rsid w:val="00D4327F"/>
    <w:rsid w:val="00D57D44"/>
    <w:rsid w:val="00D61034"/>
    <w:rsid w:val="00D63F46"/>
    <w:rsid w:val="00D80A61"/>
    <w:rsid w:val="00D9078F"/>
    <w:rsid w:val="00DB583D"/>
    <w:rsid w:val="00DB58C1"/>
    <w:rsid w:val="00DC7CF1"/>
    <w:rsid w:val="00DC7E85"/>
    <w:rsid w:val="00DD6C36"/>
    <w:rsid w:val="00DE0BCC"/>
    <w:rsid w:val="00DE684E"/>
    <w:rsid w:val="00DF16F6"/>
    <w:rsid w:val="00DF5402"/>
    <w:rsid w:val="00E00760"/>
    <w:rsid w:val="00E03E84"/>
    <w:rsid w:val="00E06A3A"/>
    <w:rsid w:val="00E13739"/>
    <w:rsid w:val="00E16A14"/>
    <w:rsid w:val="00E33EB2"/>
    <w:rsid w:val="00E41577"/>
    <w:rsid w:val="00E7153A"/>
    <w:rsid w:val="00E73D05"/>
    <w:rsid w:val="00E74052"/>
    <w:rsid w:val="00E75261"/>
    <w:rsid w:val="00E8742C"/>
    <w:rsid w:val="00E96720"/>
    <w:rsid w:val="00EB28F7"/>
    <w:rsid w:val="00EB36D0"/>
    <w:rsid w:val="00EC25F7"/>
    <w:rsid w:val="00F01D18"/>
    <w:rsid w:val="00F038BC"/>
    <w:rsid w:val="00F03C7D"/>
    <w:rsid w:val="00F10DE4"/>
    <w:rsid w:val="00F16D2A"/>
    <w:rsid w:val="00F20375"/>
    <w:rsid w:val="00F2163B"/>
    <w:rsid w:val="00F2674C"/>
    <w:rsid w:val="00F458B2"/>
    <w:rsid w:val="00F476F1"/>
    <w:rsid w:val="00F47902"/>
    <w:rsid w:val="00F838E6"/>
    <w:rsid w:val="00F84CD4"/>
    <w:rsid w:val="00F973A0"/>
    <w:rsid w:val="00FB5F32"/>
    <w:rsid w:val="00FC30D3"/>
    <w:rsid w:val="00FD1E05"/>
    <w:rsid w:val="00FE628E"/>
    <w:rsid w:val="00FF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customStyle="1" w:styleId="ConsPlusDocList">
    <w:name w:val="ConsPlusDocList"/>
    <w:next w:val="a"/>
    <w:rsid w:val="001F722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66A2E66A6477A658288DBA4599F196962CB5C3579AB31BDAC8A09383B2FE212744E0C42618AB8F2FP9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frf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AE2135AA0CDFE032FDC5AF3280537091C06EB263CE6E9ED7AC324A0CDBBBA9F325C3AD46B463CEC3WE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6CF29-B22F-4481-B466-E03B1B06E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new</cp:lastModifiedBy>
  <cp:revision>2</cp:revision>
  <cp:lastPrinted>2014-05-21T10:23:00Z</cp:lastPrinted>
  <dcterms:created xsi:type="dcterms:W3CDTF">2015-03-13T08:30:00Z</dcterms:created>
  <dcterms:modified xsi:type="dcterms:W3CDTF">2015-03-13T08:30:00Z</dcterms:modified>
</cp:coreProperties>
</file>